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311A1" w:rsidP="002311A1" w:rsidRDefault="002311A1" w14:paraId="556CB493" w14:textId="77777777">
      <w:pPr>
        <w:jc w:val="center"/>
      </w:pPr>
    </w:p>
    <w:p w:rsidR="00927ED7" w:rsidP="002311A1" w:rsidRDefault="002311A1" w14:paraId="0A982B63" w14:textId="30700B42">
      <w:pPr>
        <w:jc w:val="center"/>
        <w:rPr>
          <w:rFonts w:ascii="Arial" w:hAnsi="Arial" w:cs="Arial"/>
          <w:b/>
          <w:color w:val="FF0000"/>
          <w:sz w:val="96"/>
          <w:szCs w:val="96"/>
        </w:rPr>
      </w:pPr>
      <w:r w:rsidRPr="00AF5A3B">
        <w:rPr>
          <w:rFonts w:ascii="Times New Roman" w:hAnsi="Times New Roman" w:eastAsia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11164A4" wp14:editId="734EC888">
            <wp:extent cx="2173365" cy="1447137"/>
            <wp:effectExtent l="0" t="0" r="0" b="1270"/>
            <wp:docPr id="1012081886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81886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483" cy="144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A1" w:rsidP="002311A1" w:rsidRDefault="002311A1" w14:paraId="42489A00" w14:textId="77777777">
      <w:pPr>
        <w:jc w:val="center"/>
        <w:rPr>
          <w:rFonts w:ascii="Arial" w:hAnsi="Arial" w:cs="Arial"/>
          <w:b/>
          <w:color w:val="FF0000"/>
          <w:sz w:val="96"/>
          <w:szCs w:val="96"/>
        </w:rPr>
      </w:pPr>
    </w:p>
    <w:p w:rsidR="00927ED7" w:rsidP="00AF5A3B" w:rsidRDefault="00927ED7" w14:paraId="0AC538A1" w14:textId="6D6CBCE5">
      <w:pPr>
        <w:jc w:val="center"/>
        <w:rPr>
          <w:rFonts w:ascii="Arial" w:hAnsi="Arial" w:cs="Arial"/>
          <w:b/>
          <w:color w:val="FF0000"/>
          <w:sz w:val="96"/>
          <w:szCs w:val="96"/>
        </w:rPr>
      </w:pPr>
      <w:r w:rsidRPr="00927ED7">
        <w:rPr>
          <w:rFonts w:ascii="Arial" w:hAnsi="Arial" w:cs="Arial"/>
          <w:b/>
          <w:color w:val="FF0000"/>
          <w:sz w:val="96"/>
          <w:szCs w:val="96"/>
        </w:rPr>
        <w:t>Gender Pay Report</w:t>
      </w:r>
    </w:p>
    <w:p w:rsidR="00EB6FDE" w:rsidP="00AF5A3B" w:rsidRDefault="0006657C" w14:paraId="4EEEC2A8" w14:textId="765AB89A">
      <w:pPr>
        <w:jc w:val="center"/>
        <w:rPr>
          <w:rFonts w:ascii="Arial" w:hAnsi="Arial" w:cs="Arial"/>
          <w:b/>
          <w:color w:val="FF0000"/>
          <w:sz w:val="96"/>
          <w:szCs w:val="96"/>
        </w:rPr>
      </w:pPr>
      <w:r>
        <w:rPr>
          <w:rFonts w:ascii="Arial" w:hAnsi="Arial" w:cs="Arial"/>
          <w:b/>
          <w:color w:val="FF0000"/>
          <w:sz w:val="96"/>
          <w:szCs w:val="96"/>
        </w:rPr>
        <w:t>April 202</w:t>
      </w:r>
      <w:r w:rsidR="006F303E">
        <w:rPr>
          <w:rFonts w:ascii="Arial" w:hAnsi="Arial" w:cs="Arial"/>
          <w:b/>
          <w:color w:val="FF0000"/>
          <w:sz w:val="96"/>
          <w:szCs w:val="96"/>
        </w:rPr>
        <w:t>5</w:t>
      </w:r>
    </w:p>
    <w:p w:rsidRPr="00EB6FDE" w:rsidR="00927ED7" w:rsidP="00AF5A3B" w:rsidRDefault="00EB6FDE" w14:paraId="4B1A2CCA" w14:textId="7D38ED97">
      <w:pPr>
        <w:jc w:val="center"/>
        <w:rPr>
          <w:rFonts w:ascii="Arial" w:hAnsi="Arial" w:cs="Arial"/>
          <w:b/>
        </w:rPr>
      </w:pPr>
      <w:r w:rsidRPr="00EB6FDE">
        <w:rPr>
          <w:rFonts w:ascii="Arial" w:hAnsi="Arial" w:cs="Arial"/>
          <w:b/>
          <w:color w:val="FF0000"/>
        </w:rPr>
        <w:t>(April 202</w:t>
      </w:r>
      <w:r w:rsidR="006F303E">
        <w:rPr>
          <w:rFonts w:ascii="Arial" w:hAnsi="Arial" w:cs="Arial"/>
          <w:b/>
          <w:color w:val="FF0000"/>
        </w:rPr>
        <w:t>4</w:t>
      </w:r>
      <w:r w:rsidRPr="00EB6FDE">
        <w:rPr>
          <w:rFonts w:ascii="Arial" w:hAnsi="Arial" w:cs="Arial"/>
          <w:b/>
          <w:color w:val="FF0000"/>
        </w:rPr>
        <w:t xml:space="preserve"> data) </w:t>
      </w:r>
      <w:r w:rsidRPr="00EB6FDE" w:rsidR="00927ED7">
        <w:rPr>
          <w:rFonts w:ascii="Arial" w:hAnsi="Arial" w:cs="Arial"/>
          <w:b/>
        </w:rPr>
        <w:br w:type="page"/>
      </w:r>
    </w:p>
    <w:p w:rsidR="00E03BBA" w:rsidRDefault="00E03BBA" w14:paraId="463512FB" w14:textId="65C80EDF">
      <w:pPr>
        <w:rPr>
          <w:rFonts w:ascii="Arial" w:hAnsi="Arial" w:cs="Arial"/>
          <w:sz w:val="20"/>
          <w:szCs w:val="20"/>
        </w:rPr>
      </w:pPr>
      <w:r w:rsidRPr="00E03BBA">
        <w:rPr>
          <w:rFonts w:ascii="Arial" w:hAnsi="Arial" w:cs="Arial"/>
          <w:b/>
          <w:sz w:val="32"/>
          <w:szCs w:val="32"/>
        </w:rPr>
        <w:lastRenderedPageBreak/>
        <w:t>St Basils</w:t>
      </w:r>
      <w:r w:rsidR="000E1172">
        <w:rPr>
          <w:rFonts w:ascii="Arial" w:hAnsi="Arial" w:cs="Arial"/>
          <w:b/>
          <w:sz w:val="32"/>
          <w:szCs w:val="32"/>
        </w:rPr>
        <w:t>’</w:t>
      </w:r>
      <w:r w:rsidRPr="00E03BBA">
        <w:rPr>
          <w:rFonts w:ascii="Arial" w:hAnsi="Arial" w:cs="Arial"/>
          <w:b/>
          <w:sz w:val="32"/>
          <w:szCs w:val="32"/>
        </w:rPr>
        <w:t xml:space="preserve"> Gender Pay Report</w:t>
      </w:r>
    </w:p>
    <w:p w:rsidRPr="000E1172" w:rsidR="00195D80" w:rsidRDefault="00E9525E" w14:paraId="7D25F99A" w14:textId="72AD623C">
      <w:pPr>
        <w:rPr>
          <w:rFonts w:ascii="Arial" w:hAnsi="Arial" w:cs="Arial"/>
        </w:rPr>
      </w:pPr>
      <w:r w:rsidRPr="000E1172">
        <w:rPr>
          <w:rFonts w:ascii="Arial" w:hAnsi="Arial" w:cs="Arial"/>
        </w:rPr>
        <w:t>A</w:t>
      </w:r>
      <w:r w:rsidRPr="000E1172" w:rsidR="001C2E40">
        <w:rPr>
          <w:rFonts w:ascii="Arial" w:hAnsi="Arial" w:cs="Arial"/>
        </w:rPr>
        <w:t>ll UK employers over a certain size are required to re</w:t>
      </w:r>
      <w:r w:rsidRPr="000E1172" w:rsidR="001244C8">
        <w:rPr>
          <w:rFonts w:ascii="Arial" w:hAnsi="Arial" w:cs="Arial"/>
        </w:rPr>
        <w:t>port on their gender pay gap.  In this report you’ll find a snapshot of the gender pay balance within St Basils, accompanied by notes to explain what the results mean.</w:t>
      </w:r>
    </w:p>
    <w:p w:rsidRPr="000E1172" w:rsidR="00845FB4" w:rsidRDefault="00AD2AFE" w14:paraId="34E581A8" w14:textId="58BF6DBD">
      <w:pPr>
        <w:rPr>
          <w:rFonts w:ascii="Arial" w:hAnsi="Arial" w:cs="Arial"/>
        </w:rPr>
      </w:pPr>
      <w:r w:rsidRPr="000E1172">
        <w:rPr>
          <w:rFonts w:ascii="Arial" w:hAnsi="Arial" w:cs="Arial"/>
        </w:rPr>
        <w:t xml:space="preserve">One of </w:t>
      </w:r>
      <w:r w:rsidRPr="000E1172" w:rsidR="001244C8">
        <w:rPr>
          <w:rFonts w:ascii="Arial" w:hAnsi="Arial" w:cs="Arial"/>
        </w:rPr>
        <w:t>St Basils</w:t>
      </w:r>
      <w:r w:rsidRPr="000E1172">
        <w:rPr>
          <w:rFonts w:ascii="Arial" w:hAnsi="Arial" w:cs="Arial"/>
        </w:rPr>
        <w:t>’ strategic priorities is ‘</w:t>
      </w:r>
      <w:r w:rsidRPr="000E1172" w:rsidR="008C40DD">
        <w:rPr>
          <w:rFonts w:ascii="Arial" w:hAnsi="Arial" w:cs="Arial"/>
        </w:rPr>
        <w:t xml:space="preserve">Challenging discrimination and promoting diversity and cohesion through employment, service delivery and community engagement’ </w:t>
      </w:r>
      <w:r w:rsidRPr="000E1172" w:rsidR="00845FB4">
        <w:rPr>
          <w:rFonts w:ascii="Arial" w:hAnsi="Arial" w:cs="Arial"/>
        </w:rPr>
        <w:t>– central to which is our ongoing commitment to equality, diversity and inclusion, and to addressing workplace barriers to equality.</w:t>
      </w:r>
    </w:p>
    <w:p w:rsidRPr="000E1172" w:rsidR="00845FB4" w:rsidRDefault="00DB566C" w14:paraId="63ABD57B" w14:textId="77777777">
      <w:pPr>
        <w:rPr>
          <w:rFonts w:ascii="Arial" w:hAnsi="Arial" w:cs="Arial"/>
        </w:rPr>
      </w:pPr>
      <w:r w:rsidRPr="000E1172">
        <w:rPr>
          <w:rFonts w:ascii="Arial" w:hAnsi="Arial" w:cs="Arial"/>
        </w:rPr>
        <w:t>W</w:t>
      </w:r>
      <w:r w:rsidRPr="000E1172" w:rsidR="00AD2AFE">
        <w:rPr>
          <w:rFonts w:ascii="Arial" w:hAnsi="Arial" w:cs="Arial"/>
        </w:rPr>
        <w:t>e welcome the requirement to report on this data and will use the information to inform our continuing commitment t</w:t>
      </w:r>
      <w:r w:rsidRPr="000E1172" w:rsidR="00845FB4">
        <w:rPr>
          <w:rFonts w:ascii="Arial" w:hAnsi="Arial" w:cs="Arial"/>
        </w:rPr>
        <w:t>o ensure that everyone – regardless of race, ethnicity or gender – has an equal opportunity to thrive.</w:t>
      </w:r>
    </w:p>
    <w:p w:rsidRPr="002311A1" w:rsidR="00927ED7" w:rsidRDefault="00927ED7" w14:paraId="2897AEF5" w14:textId="3B868753">
      <w:pPr>
        <w:rPr>
          <w:rFonts w:ascii="Arial" w:hAnsi="Arial" w:cs="Arial"/>
        </w:rPr>
      </w:pPr>
      <w:r w:rsidRPr="000E1172">
        <w:rPr>
          <w:rFonts w:ascii="Arial" w:hAnsi="Arial" w:cs="Arial"/>
        </w:rPr>
        <w:t>The figures in this report relate to pay in the month of April 20</w:t>
      </w:r>
      <w:r w:rsidRPr="000E1172" w:rsidR="00EB6FDE">
        <w:rPr>
          <w:rFonts w:ascii="Arial" w:hAnsi="Arial" w:cs="Arial"/>
        </w:rPr>
        <w:t>2</w:t>
      </w:r>
      <w:r w:rsidR="006F303E">
        <w:rPr>
          <w:rFonts w:ascii="Arial" w:hAnsi="Arial" w:cs="Arial"/>
        </w:rPr>
        <w:t>4</w:t>
      </w:r>
      <w:r w:rsidRPr="000E1172" w:rsidR="00EB6FDE">
        <w:rPr>
          <w:rFonts w:ascii="Arial" w:hAnsi="Arial" w:cs="Arial"/>
        </w:rPr>
        <w:t>.</w:t>
      </w:r>
    </w:p>
    <w:p w:rsidRPr="00A86957" w:rsidR="001244C8" w:rsidRDefault="00845FB4" w14:paraId="5E1FC006" w14:textId="77777777">
      <w:pPr>
        <w:rPr>
          <w:rFonts w:ascii="Arial" w:hAnsi="Arial" w:cs="Arial"/>
          <w:b/>
          <w:sz w:val="32"/>
          <w:szCs w:val="32"/>
        </w:rPr>
      </w:pPr>
      <w:r w:rsidRPr="00A86957">
        <w:rPr>
          <w:rFonts w:ascii="Arial" w:hAnsi="Arial" w:cs="Arial"/>
          <w:b/>
          <w:sz w:val="32"/>
          <w:szCs w:val="32"/>
        </w:rPr>
        <w:t>What is the gender pay gap?</w:t>
      </w:r>
    </w:p>
    <w:p w:rsidRPr="000E1172" w:rsidR="00845FB4" w:rsidP="002F2E41" w:rsidRDefault="008423BF" w14:paraId="031689EA" w14:textId="58D03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0E1172" w:rsidR="00845FB4">
        <w:rPr>
          <w:rFonts w:ascii="Arial" w:hAnsi="Arial" w:cs="Arial"/>
        </w:rPr>
        <w:t xml:space="preserve">Gender pay gap analyses the difference between the average earnings of all </w:t>
      </w:r>
      <w:r w:rsidRPr="000E1172" w:rsidR="00E57B13">
        <w:rPr>
          <w:rFonts w:ascii="Arial" w:hAnsi="Arial" w:cs="Arial"/>
        </w:rPr>
        <w:t>male and female</w:t>
      </w:r>
      <w:r w:rsidRPr="000E1172" w:rsidR="00845FB4">
        <w:rPr>
          <w:rFonts w:ascii="Arial" w:hAnsi="Arial" w:cs="Arial"/>
        </w:rPr>
        <w:t xml:space="preserve"> employees in an organisation, regardless of their role or seniority. The following information is included:</w:t>
      </w:r>
    </w:p>
    <w:p w:rsidRPr="000E1172" w:rsidR="00845FB4" w:rsidP="002F2E41" w:rsidRDefault="00845FB4" w14:paraId="12B5806C" w14:textId="77777777">
      <w:pPr>
        <w:numPr>
          <w:ilvl w:val="0"/>
          <w:numId w:val="1"/>
        </w:numPr>
        <w:spacing w:before="100" w:beforeAutospacing="1" w:after="100" w:afterAutospacing="1" w:line="270" w:lineRule="atLeast"/>
        <w:ind w:left="426"/>
        <w:rPr>
          <w:rFonts w:ascii="Arial" w:hAnsi="Arial" w:eastAsia="Times New Roman" w:cs="Arial"/>
          <w:lang w:val="en" w:eastAsia="en-GB"/>
        </w:rPr>
      </w:pPr>
      <w:r w:rsidRPr="000E1172">
        <w:rPr>
          <w:rFonts w:ascii="Arial" w:hAnsi="Arial" w:eastAsia="Times New Roman" w:cs="Arial"/>
          <w:lang w:val="en" w:eastAsia="en-GB"/>
        </w:rPr>
        <w:t>mean gender pay gap in hourly pay</w:t>
      </w:r>
    </w:p>
    <w:p w:rsidRPr="000E1172" w:rsidR="00845FB4" w:rsidP="002F2E41" w:rsidRDefault="00845FB4" w14:paraId="580C5B5E" w14:textId="77777777">
      <w:pPr>
        <w:numPr>
          <w:ilvl w:val="0"/>
          <w:numId w:val="1"/>
        </w:numPr>
        <w:spacing w:before="100" w:beforeAutospacing="1" w:after="100" w:afterAutospacing="1" w:line="270" w:lineRule="atLeast"/>
        <w:ind w:left="426"/>
        <w:rPr>
          <w:rFonts w:ascii="Arial" w:hAnsi="Arial" w:eastAsia="Times New Roman" w:cs="Arial"/>
          <w:lang w:val="en" w:eastAsia="en-GB"/>
        </w:rPr>
      </w:pPr>
      <w:r w:rsidRPr="000E1172">
        <w:rPr>
          <w:rFonts w:ascii="Arial" w:hAnsi="Arial" w:eastAsia="Times New Roman" w:cs="Arial"/>
          <w:lang w:val="en" w:eastAsia="en-GB"/>
        </w:rPr>
        <w:t>median gender pay gap in hourly pay</w:t>
      </w:r>
    </w:p>
    <w:p w:rsidRPr="000E1172" w:rsidR="00845FB4" w:rsidP="002F2E41" w:rsidRDefault="00845FB4" w14:paraId="6D1A1577" w14:textId="77777777">
      <w:pPr>
        <w:numPr>
          <w:ilvl w:val="0"/>
          <w:numId w:val="1"/>
        </w:numPr>
        <w:spacing w:before="100" w:beforeAutospacing="1" w:after="100" w:afterAutospacing="1" w:line="270" w:lineRule="atLeast"/>
        <w:ind w:left="426"/>
        <w:rPr>
          <w:rFonts w:ascii="Arial" w:hAnsi="Arial" w:eastAsia="Times New Roman" w:cs="Arial"/>
          <w:lang w:val="en" w:eastAsia="en-GB"/>
        </w:rPr>
      </w:pPr>
      <w:r w:rsidRPr="000E1172">
        <w:rPr>
          <w:rFonts w:ascii="Arial" w:hAnsi="Arial" w:eastAsia="Times New Roman" w:cs="Arial"/>
          <w:lang w:val="en" w:eastAsia="en-GB"/>
        </w:rPr>
        <w:t>mean bonus gender pay gap</w:t>
      </w:r>
    </w:p>
    <w:p w:rsidRPr="000E1172" w:rsidR="00845FB4" w:rsidP="002F2E41" w:rsidRDefault="00845FB4" w14:paraId="1CB65AC9" w14:textId="77777777">
      <w:pPr>
        <w:numPr>
          <w:ilvl w:val="0"/>
          <w:numId w:val="1"/>
        </w:numPr>
        <w:spacing w:before="100" w:beforeAutospacing="1" w:after="100" w:afterAutospacing="1" w:line="270" w:lineRule="atLeast"/>
        <w:ind w:left="426"/>
        <w:rPr>
          <w:rFonts w:ascii="Arial" w:hAnsi="Arial" w:eastAsia="Times New Roman" w:cs="Arial"/>
          <w:lang w:val="en" w:eastAsia="en-GB"/>
        </w:rPr>
      </w:pPr>
      <w:r w:rsidRPr="000E1172">
        <w:rPr>
          <w:rFonts w:ascii="Arial" w:hAnsi="Arial" w:eastAsia="Times New Roman" w:cs="Arial"/>
          <w:lang w:val="en" w:eastAsia="en-GB"/>
        </w:rPr>
        <w:t>median bonus gender pay gap</w:t>
      </w:r>
    </w:p>
    <w:p w:rsidRPr="000E1172" w:rsidR="00845FB4" w:rsidP="002F2E41" w:rsidRDefault="00845FB4" w14:paraId="1AC5A1DF" w14:textId="77777777">
      <w:pPr>
        <w:numPr>
          <w:ilvl w:val="0"/>
          <w:numId w:val="1"/>
        </w:numPr>
        <w:spacing w:before="100" w:beforeAutospacing="1" w:after="100" w:afterAutospacing="1" w:line="270" w:lineRule="atLeast"/>
        <w:ind w:left="426"/>
        <w:rPr>
          <w:rFonts w:ascii="Arial" w:hAnsi="Arial" w:eastAsia="Times New Roman" w:cs="Arial"/>
          <w:lang w:val="en" w:eastAsia="en-GB"/>
        </w:rPr>
      </w:pPr>
      <w:r w:rsidRPr="000E1172">
        <w:rPr>
          <w:rFonts w:ascii="Arial" w:hAnsi="Arial" w:eastAsia="Times New Roman" w:cs="Arial"/>
          <w:lang w:val="en" w:eastAsia="en-GB"/>
        </w:rPr>
        <w:t>proportion of men and women receiving a bonus payment</w:t>
      </w:r>
    </w:p>
    <w:p w:rsidRPr="000E1172" w:rsidR="00845FB4" w:rsidP="002F2E41" w:rsidRDefault="00845FB4" w14:paraId="2ADF9B1D" w14:textId="77777777">
      <w:pPr>
        <w:numPr>
          <w:ilvl w:val="0"/>
          <w:numId w:val="1"/>
        </w:numPr>
        <w:spacing w:before="100" w:beforeAutospacing="1" w:after="100" w:afterAutospacing="1" w:line="270" w:lineRule="atLeast"/>
        <w:ind w:left="426"/>
        <w:rPr>
          <w:rFonts w:ascii="Arial" w:hAnsi="Arial" w:eastAsia="Times New Roman" w:cs="Arial"/>
          <w:lang w:val="en" w:eastAsia="en-GB"/>
        </w:rPr>
      </w:pPr>
      <w:r w:rsidRPr="000E1172">
        <w:rPr>
          <w:rFonts w:ascii="Arial" w:hAnsi="Arial" w:eastAsia="Times New Roman" w:cs="Arial"/>
          <w:lang w:val="en" w:eastAsia="en-GB"/>
        </w:rPr>
        <w:t>proportion of men and women in each pay quartile</w:t>
      </w:r>
    </w:p>
    <w:p w:rsidRPr="000E1172" w:rsidR="00845FB4" w:rsidP="002F2E41" w:rsidRDefault="00845FB4" w14:paraId="5F4E7CBA" w14:textId="77777777">
      <w:pPr>
        <w:rPr>
          <w:rFonts w:ascii="Arial" w:hAnsi="Arial" w:cs="Arial"/>
        </w:rPr>
      </w:pPr>
      <w:r w:rsidRPr="000E1172">
        <w:rPr>
          <w:rFonts w:ascii="Arial" w:hAnsi="Arial" w:cs="Arial"/>
        </w:rPr>
        <w:t xml:space="preserve">Gender pay should not be confused with equal pay, which is about ensuring that men and women undertaking work of an equal value are paid a similar amount for that work. </w:t>
      </w:r>
    </w:p>
    <w:p w:rsidRPr="000E1172" w:rsidR="00804788" w:rsidP="002F2E41" w:rsidRDefault="00E57B13" w14:paraId="6113D990" w14:textId="77777777">
      <w:pPr>
        <w:rPr>
          <w:rFonts w:ascii="Arial" w:hAnsi="Arial" w:cs="Arial"/>
        </w:rPr>
      </w:pPr>
      <w:r w:rsidRPr="000E1172">
        <w:rPr>
          <w:rFonts w:ascii="Arial" w:hAnsi="Arial" w:cs="Arial"/>
        </w:rPr>
        <w:t xml:space="preserve">A gender pay gap </w:t>
      </w:r>
      <w:r w:rsidRPr="008423BF">
        <w:rPr>
          <w:rFonts w:ascii="Arial" w:hAnsi="Arial" w:cs="Arial"/>
          <w:b/>
          <w:bCs/>
        </w:rPr>
        <w:t>does not</w:t>
      </w:r>
      <w:r w:rsidRPr="000E1172">
        <w:rPr>
          <w:rFonts w:ascii="Arial" w:hAnsi="Arial" w:cs="Arial"/>
        </w:rPr>
        <w:t xml:space="preserve"> </w:t>
      </w:r>
      <w:r w:rsidRPr="000E1172" w:rsidR="00845FB4">
        <w:rPr>
          <w:rFonts w:ascii="Arial" w:hAnsi="Arial" w:cs="Arial"/>
        </w:rPr>
        <w:t xml:space="preserve">indicate a pay equity issue or an imbalance in St Basils’ pay structures and policies. What the gap </w:t>
      </w:r>
      <w:r w:rsidRPr="008423BF" w:rsidR="00845FB4">
        <w:rPr>
          <w:rFonts w:ascii="Arial" w:hAnsi="Arial" w:cs="Arial"/>
          <w:i/>
          <w:iCs/>
        </w:rPr>
        <w:t>does</w:t>
      </w:r>
      <w:r w:rsidRPr="000E1172" w:rsidR="00845FB4">
        <w:rPr>
          <w:rFonts w:ascii="Arial" w:hAnsi="Arial" w:cs="Arial"/>
        </w:rPr>
        <w:t xml:space="preserve"> reflect is the current distribution of men and women across the pay quartiles, and </w:t>
      </w:r>
      <w:r w:rsidRPr="000E1172">
        <w:rPr>
          <w:rFonts w:ascii="Arial" w:hAnsi="Arial" w:cs="Arial"/>
        </w:rPr>
        <w:t xml:space="preserve">whether </w:t>
      </w:r>
      <w:r w:rsidRPr="000E1172" w:rsidR="00845FB4">
        <w:rPr>
          <w:rFonts w:ascii="Arial" w:hAnsi="Arial" w:cs="Arial"/>
        </w:rPr>
        <w:t>there is a</w:t>
      </w:r>
      <w:r w:rsidRPr="000E1172" w:rsidR="003345D3">
        <w:rPr>
          <w:rFonts w:ascii="Arial" w:hAnsi="Arial" w:cs="Arial"/>
        </w:rPr>
        <w:t xml:space="preserve"> varying</w:t>
      </w:r>
      <w:r w:rsidRPr="000E1172" w:rsidR="00845FB4">
        <w:rPr>
          <w:rFonts w:ascii="Arial" w:hAnsi="Arial" w:cs="Arial"/>
        </w:rPr>
        <w:t xml:space="preserve"> distribution.</w:t>
      </w:r>
    </w:p>
    <w:p w:rsidR="008146A9" w:rsidP="00845FB4" w:rsidRDefault="008146A9" w14:paraId="518E5C07" w14:textId="77777777">
      <w:pPr>
        <w:spacing w:after="150" w:line="270" w:lineRule="atLeast"/>
        <w:rPr>
          <w:rFonts w:ascii="Arial" w:hAnsi="Arial" w:eastAsia="Times New Roman" w:cs="Arial"/>
          <w:color w:val="333333"/>
          <w:sz w:val="20"/>
          <w:szCs w:val="20"/>
          <w:lang w:val="en" w:eastAsia="en-GB"/>
        </w:rPr>
      </w:pPr>
    </w:p>
    <w:p w:rsidRPr="00A86957" w:rsidR="008146A9" w:rsidP="00845FB4" w:rsidRDefault="008146A9" w14:paraId="5D6D55E7" w14:textId="77777777">
      <w:pPr>
        <w:spacing w:after="150" w:line="270" w:lineRule="atLeast"/>
        <w:rPr>
          <w:rFonts w:ascii="Arial" w:hAnsi="Arial" w:eastAsia="Times New Roman" w:cs="Arial"/>
          <w:color w:val="333333"/>
          <w:sz w:val="20"/>
          <w:szCs w:val="20"/>
          <w:lang w:val="en" w:eastAsia="en-GB"/>
        </w:rPr>
      </w:pPr>
    </w:p>
    <w:p w:rsidR="002311A1" w:rsidP="002311A1" w:rsidRDefault="002311A1" w14:paraId="5735A477" w14:textId="77777777">
      <w:pPr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="002311A1" w:rsidP="002311A1" w:rsidRDefault="002311A1" w14:paraId="72F6547C" w14:textId="77777777">
      <w:pPr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="002311A1" w:rsidP="002311A1" w:rsidRDefault="002311A1" w14:paraId="6DA9E591" w14:textId="77777777">
      <w:pPr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="002311A1" w:rsidP="002311A1" w:rsidRDefault="002311A1" w14:paraId="021D25A5" w14:textId="77777777">
      <w:pPr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="002311A1" w:rsidP="002311A1" w:rsidRDefault="002311A1" w14:paraId="4CF9ED59" w14:textId="77777777">
      <w:pPr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="002311A1" w:rsidP="002311A1" w:rsidRDefault="002311A1" w14:paraId="1F329FEA" w14:textId="77777777">
      <w:pPr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Pr="002F2E41" w:rsidR="006E6F45" w:rsidP="002311A1" w:rsidRDefault="004C2AA9" w14:paraId="65EA19F9" w14:textId="49D04B5B">
      <w:pPr>
        <w:rPr>
          <w:rFonts w:ascii="Arial" w:hAnsi="Arial" w:eastAsia="Times New Roman" w:cs="Arial"/>
          <w:b/>
          <w:sz w:val="32"/>
          <w:szCs w:val="20"/>
          <w:lang w:val="en" w:eastAsia="en-GB"/>
        </w:rPr>
      </w:pPr>
      <w:r w:rsidRPr="002F2E41">
        <w:rPr>
          <w:rFonts w:ascii="Arial" w:hAnsi="Arial" w:eastAsia="Times New Roman" w:cs="Arial"/>
          <w:b/>
          <w:sz w:val="32"/>
          <w:szCs w:val="20"/>
          <w:lang w:val="en" w:eastAsia="en-GB"/>
        </w:rPr>
        <w:lastRenderedPageBreak/>
        <w:t>St Basils</w:t>
      </w:r>
      <w:r w:rsidR="006E6F45">
        <w:rPr>
          <w:rFonts w:ascii="Arial" w:hAnsi="Arial" w:eastAsia="Times New Roman" w:cs="Arial"/>
          <w:b/>
          <w:sz w:val="32"/>
          <w:szCs w:val="20"/>
          <w:lang w:val="en" w:eastAsia="en-GB"/>
        </w:rPr>
        <w:t>’ Gen</w:t>
      </w:r>
      <w:r w:rsidR="0078267B">
        <w:rPr>
          <w:rFonts w:ascii="Arial" w:hAnsi="Arial" w:eastAsia="Times New Roman" w:cs="Arial"/>
          <w:b/>
          <w:sz w:val="32"/>
          <w:szCs w:val="20"/>
          <w:lang w:val="en" w:eastAsia="en-GB"/>
        </w:rPr>
        <w:t>d</w:t>
      </w:r>
      <w:r w:rsidR="006E6F45">
        <w:rPr>
          <w:rFonts w:ascii="Arial" w:hAnsi="Arial" w:eastAsia="Times New Roman" w:cs="Arial"/>
          <w:b/>
          <w:sz w:val="32"/>
          <w:szCs w:val="20"/>
          <w:lang w:val="en" w:eastAsia="en-GB"/>
        </w:rPr>
        <w:t>er Pay Gap Data</w:t>
      </w:r>
    </w:p>
    <w:p w:rsidRPr="000E1172" w:rsidR="004C2AA9" w:rsidP="00845FB4" w:rsidRDefault="004C2AA9" w14:paraId="2B75210C" w14:textId="436A2C27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  <w:r w:rsidRPr="000E1172">
        <w:rPr>
          <w:rFonts w:ascii="Arial" w:hAnsi="Arial" w:eastAsia="Times New Roman" w:cs="Arial"/>
          <w:b/>
          <w:lang w:val="en" w:eastAsia="en-GB"/>
        </w:rPr>
        <w:t>Table 1 – Difference in hourly pay rate between men and women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Pr="000E1172" w:rsidR="002F2E41" w:rsidTr="00195D80" w14:paraId="6B34ECD4" w14:textId="77777777">
        <w:tc>
          <w:tcPr>
            <w:tcW w:w="2263" w:type="dxa"/>
            <w:shd w:val="clear" w:color="auto" w:fill="BFBFBF" w:themeFill="background1" w:themeFillShade="BF"/>
          </w:tcPr>
          <w:p w:rsidRPr="000E1172" w:rsidR="00804788" w:rsidP="00195D80" w:rsidRDefault="00804788" w14:paraId="4781890C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Pr="000E1172" w:rsidR="00804788" w:rsidP="00195D80" w:rsidRDefault="00804788" w14:paraId="4F737A55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b/>
                <w:lang w:val="en" w:eastAsia="en-GB"/>
              </w:rPr>
              <w:t>% Difference</w:t>
            </w:r>
          </w:p>
          <w:p w:rsidRPr="000E1172" w:rsidR="00195D80" w:rsidP="00195D80" w:rsidRDefault="00195D80" w14:paraId="1C28FB14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</w:p>
        </w:tc>
      </w:tr>
      <w:tr w:rsidRPr="000E1172" w:rsidR="002F2E41" w:rsidTr="00195D80" w14:paraId="1E503210" w14:textId="77777777">
        <w:tc>
          <w:tcPr>
            <w:tcW w:w="2263" w:type="dxa"/>
            <w:shd w:val="clear" w:color="auto" w:fill="F2F2F2" w:themeFill="background1" w:themeFillShade="F2"/>
          </w:tcPr>
          <w:p w:rsidRPr="000E1172" w:rsidR="00804788" w:rsidP="00195D80" w:rsidRDefault="00804788" w14:paraId="686E748E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lang w:val="en" w:eastAsia="en-GB"/>
              </w:rPr>
              <w:t>Mean Hourly Rate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Pr="000E1172" w:rsidR="00195D80" w:rsidP="00D02C5D" w:rsidRDefault="006F303E" w14:paraId="707A4905" w14:textId="77F54840">
            <w:pPr>
              <w:spacing w:after="150" w:line="270" w:lineRule="atLeast"/>
              <w:jc w:val="center"/>
              <w:rPr>
                <w:rFonts w:ascii="Arial" w:hAnsi="Arial" w:eastAsia="Times New Roman" w:cs="Arial"/>
                <w:lang w:val="en" w:eastAsia="en-GB"/>
              </w:rPr>
            </w:pPr>
            <w:r>
              <w:rPr>
                <w:rFonts w:ascii="Arial" w:hAnsi="Arial" w:eastAsia="Times New Roman" w:cs="Arial"/>
                <w:lang w:val="en" w:eastAsia="en-GB"/>
              </w:rPr>
              <w:t>4.7</w:t>
            </w:r>
            <w:r w:rsidRPr="000E1172" w:rsidR="00195D80">
              <w:rPr>
                <w:rFonts w:ascii="Arial" w:hAnsi="Arial" w:eastAsia="Times New Roman" w:cs="Arial"/>
                <w:lang w:val="en" w:eastAsia="en-GB"/>
              </w:rPr>
              <w:t>%</w:t>
            </w:r>
          </w:p>
        </w:tc>
      </w:tr>
      <w:tr w:rsidRPr="000E1172" w:rsidR="002F2E41" w:rsidTr="00195D80" w14:paraId="5CEB0D2E" w14:textId="77777777">
        <w:tc>
          <w:tcPr>
            <w:tcW w:w="2263" w:type="dxa"/>
            <w:shd w:val="clear" w:color="auto" w:fill="F2F2F2" w:themeFill="background1" w:themeFillShade="F2"/>
          </w:tcPr>
          <w:p w:rsidRPr="000E1172" w:rsidR="00804788" w:rsidP="00195D80" w:rsidRDefault="00804788" w14:paraId="059D635D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lang w:val="en" w:eastAsia="en-GB"/>
              </w:rPr>
              <w:t>Median Hourly Rate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Pr="000E1172" w:rsidR="00804788" w:rsidP="00126DE5" w:rsidRDefault="006F303E" w14:paraId="01F98835" w14:textId="1C854D8C">
            <w:pPr>
              <w:spacing w:after="150" w:line="270" w:lineRule="atLeast"/>
              <w:jc w:val="center"/>
              <w:rPr>
                <w:rFonts w:ascii="Arial" w:hAnsi="Arial" w:eastAsia="Times New Roman" w:cs="Arial"/>
                <w:lang w:val="en" w:eastAsia="en-GB"/>
              </w:rPr>
            </w:pPr>
            <w:r>
              <w:rPr>
                <w:rFonts w:ascii="Arial" w:hAnsi="Arial" w:eastAsia="Times New Roman" w:cs="Arial"/>
                <w:lang w:val="en" w:eastAsia="en-GB"/>
              </w:rPr>
              <w:t>0.0</w:t>
            </w:r>
            <w:r w:rsidRPr="000E1172" w:rsidR="00195D80">
              <w:rPr>
                <w:rFonts w:ascii="Arial" w:hAnsi="Arial" w:eastAsia="Times New Roman" w:cs="Arial"/>
                <w:lang w:val="en" w:eastAsia="en-GB"/>
              </w:rPr>
              <w:t>%</w:t>
            </w:r>
          </w:p>
        </w:tc>
      </w:tr>
    </w:tbl>
    <w:p w:rsidRPr="000E1172" w:rsidR="006E6F45" w:rsidP="008146A9" w:rsidRDefault="00195D80" w14:paraId="733F8532" w14:textId="15F7C094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  <w:r w:rsidRPr="000E1172">
        <w:rPr>
          <w:rFonts w:ascii="Arial" w:hAnsi="Arial" w:eastAsia="Times New Roman" w:cs="Arial"/>
          <w:i/>
          <w:lang w:val="en" w:eastAsia="en-GB"/>
        </w:rPr>
        <w:t>St Basils mean and median differences between the hourly pay rate of men and women</w:t>
      </w:r>
      <w:r w:rsidRPr="000E1172" w:rsidR="00C06C5F">
        <w:rPr>
          <w:rFonts w:ascii="Arial" w:hAnsi="Arial" w:eastAsia="Times New Roman" w:cs="Arial"/>
          <w:i/>
          <w:lang w:val="en" w:eastAsia="en-GB"/>
        </w:rPr>
        <w:t>.</w:t>
      </w:r>
      <w:r w:rsidRPr="000E1172">
        <w:rPr>
          <w:rFonts w:ascii="Arial" w:hAnsi="Arial" w:eastAsia="Times New Roman" w:cs="Arial"/>
          <w:i/>
          <w:color w:val="333333"/>
          <w:lang w:val="en" w:eastAsia="en-GB"/>
        </w:rPr>
        <w:br w:type="textWrapping" w:clear="all"/>
      </w:r>
    </w:p>
    <w:p w:rsidRPr="000E1172" w:rsidR="004C2AA9" w:rsidP="004C2AA9" w:rsidRDefault="00D838B4" w14:paraId="0EF32D0C" w14:textId="77777777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  <w:r w:rsidRPr="000E1172">
        <w:rPr>
          <w:rFonts w:ascii="Arial" w:hAnsi="Arial" w:eastAsia="Times New Roman" w:cs="Arial"/>
          <w:b/>
          <w:lang w:val="en" w:eastAsia="en-GB"/>
        </w:rPr>
        <w:t>Table 2</w:t>
      </w:r>
      <w:r w:rsidRPr="000E1172" w:rsidR="004C2AA9">
        <w:rPr>
          <w:rFonts w:ascii="Arial" w:hAnsi="Arial" w:eastAsia="Times New Roman" w:cs="Arial"/>
          <w:b/>
          <w:lang w:val="en" w:eastAsia="en-GB"/>
        </w:rPr>
        <w:t xml:space="preserve"> – Difference in bonus pay between men and women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Pr="000E1172" w:rsidR="002F2E41" w:rsidTr="00AE64BA" w14:paraId="67A9176E" w14:textId="77777777">
        <w:tc>
          <w:tcPr>
            <w:tcW w:w="2263" w:type="dxa"/>
            <w:shd w:val="clear" w:color="auto" w:fill="BFBFBF" w:themeFill="background1" w:themeFillShade="BF"/>
          </w:tcPr>
          <w:p w:rsidRPr="000E1172" w:rsidR="004C2AA9" w:rsidP="00AE64BA" w:rsidRDefault="004C2AA9" w14:paraId="2213ECC5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Pr="000E1172" w:rsidR="00BF5713" w:rsidP="00AE64BA" w:rsidRDefault="00BF5713" w14:paraId="716EF903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</w:p>
          <w:p w:rsidRPr="000E1172" w:rsidR="004C2AA9" w:rsidP="00AE64BA" w:rsidRDefault="004C2AA9" w14:paraId="4953D1D0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b/>
                <w:lang w:val="en" w:eastAsia="en-GB"/>
              </w:rPr>
              <w:t>% Difference</w:t>
            </w:r>
          </w:p>
          <w:p w:rsidRPr="000E1172" w:rsidR="004C2AA9" w:rsidP="00AE64BA" w:rsidRDefault="004C2AA9" w14:paraId="2FA4FDCB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</w:p>
        </w:tc>
      </w:tr>
      <w:tr w:rsidRPr="000E1172" w:rsidR="002F2E41" w:rsidTr="00AE64BA" w14:paraId="7B6585DF" w14:textId="77777777">
        <w:tc>
          <w:tcPr>
            <w:tcW w:w="2263" w:type="dxa"/>
            <w:shd w:val="clear" w:color="auto" w:fill="F2F2F2" w:themeFill="background1" w:themeFillShade="F2"/>
          </w:tcPr>
          <w:p w:rsidRPr="000E1172" w:rsidR="004C2AA9" w:rsidP="004C2AA9" w:rsidRDefault="004C2AA9" w14:paraId="5CF4CA20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lang w:val="en" w:eastAsia="en-GB"/>
              </w:rPr>
              <w:t>Mean Bonus Pay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Pr="000E1172" w:rsidR="004C2AA9" w:rsidP="002279C4" w:rsidRDefault="004C2AA9" w14:paraId="35FB0E6F" w14:textId="77777777">
            <w:pPr>
              <w:spacing w:after="150" w:line="270" w:lineRule="atLeast"/>
              <w:jc w:val="center"/>
              <w:rPr>
                <w:rFonts w:ascii="Arial" w:hAnsi="Arial" w:eastAsia="Times New Roman" w:cs="Arial"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lang w:val="en" w:eastAsia="en-GB"/>
              </w:rPr>
              <w:t>0%</w:t>
            </w:r>
          </w:p>
        </w:tc>
      </w:tr>
      <w:tr w:rsidRPr="000E1172" w:rsidR="002F2E41" w:rsidTr="00AE64BA" w14:paraId="6D1A44E8" w14:textId="77777777">
        <w:tc>
          <w:tcPr>
            <w:tcW w:w="2263" w:type="dxa"/>
            <w:shd w:val="clear" w:color="auto" w:fill="F2F2F2" w:themeFill="background1" w:themeFillShade="F2"/>
          </w:tcPr>
          <w:p w:rsidRPr="000E1172" w:rsidR="004C2AA9" w:rsidP="004C2AA9" w:rsidRDefault="004C2AA9" w14:paraId="00CDBC25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lang w:val="en" w:eastAsia="en-GB"/>
              </w:rPr>
              <w:t>Median Bonus Pay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Pr="000E1172" w:rsidR="004C2AA9" w:rsidP="002279C4" w:rsidRDefault="004C2AA9" w14:paraId="6FB77BEE" w14:textId="77777777">
            <w:pPr>
              <w:spacing w:after="150" w:line="270" w:lineRule="atLeast"/>
              <w:jc w:val="center"/>
              <w:rPr>
                <w:rFonts w:ascii="Arial" w:hAnsi="Arial" w:eastAsia="Times New Roman" w:cs="Arial"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lang w:val="en" w:eastAsia="en-GB"/>
              </w:rPr>
              <w:t>0%</w:t>
            </w:r>
          </w:p>
        </w:tc>
      </w:tr>
    </w:tbl>
    <w:p w:rsidRPr="000E1172" w:rsidR="007B62B9" w:rsidRDefault="007B62B9" w14:paraId="23D26FCB" w14:textId="1D908DD2">
      <w:pPr>
        <w:rPr>
          <w:rFonts w:ascii="Arial" w:hAnsi="Arial" w:cs="Arial"/>
          <w:i/>
        </w:rPr>
      </w:pPr>
      <w:r w:rsidRPr="000E1172">
        <w:rPr>
          <w:rFonts w:ascii="Arial" w:hAnsi="Arial" w:cs="Arial"/>
          <w:i/>
        </w:rPr>
        <w:t>St Basils does not pay any bonuses which qualify for reporting purposes.</w:t>
      </w:r>
    </w:p>
    <w:p w:rsidRPr="000E1172" w:rsidR="00E03BBA" w:rsidRDefault="00E03BBA" w14:paraId="5B178DCB" w14:textId="77777777">
      <w:pPr>
        <w:rPr>
          <w:rFonts w:ascii="Arial" w:hAnsi="Arial" w:cs="Arial"/>
          <w:i/>
        </w:rPr>
      </w:pPr>
    </w:p>
    <w:p w:rsidRPr="000E1172" w:rsidR="00E25DD4" w:rsidP="00D838B4" w:rsidRDefault="00E25DD4" w14:paraId="31A796CA" w14:textId="77777777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</w:p>
    <w:p w:rsidRPr="000E1172" w:rsidR="00446551" w:rsidP="00D838B4" w:rsidRDefault="00446551" w14:paraId="05508865" w14:textId="77777777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</w:p>
    <w:p w:rsidRPr="000E1172" w:rsidR="006E6F45" w:rsidP="00D838B4" w:rsidRDefault="006E6F45" w14:paraId="16C4982E" w14:textId="77777777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</w:p>
    <w:p w:rsidRPr="000E1172" w:rsidR="00D838B4" w:rsidP="00D838B4" w:rsidRDefault="00EA7A3A" w14:paraId="18B0BD6C" w14:textId="5D72DB17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  <w:r w:rsidRPr="000E1172">
        <w:rPr>
          <w:rFonts w:ascii="Arial" w:hAnsi="Arial" w:eastAsia="Times New Roman" w:cs="Arial"/>
          <w:b/>
          <w:lang w:val="en" w:eastAsia="en-GB"/>
        </w:rPr>
        <w:t>Table 3</w:t>
      </w:r>
      <w:r w:rsidRPr="000E1172" w:rsidR="00D838B4">
        <w:rPr>
          <w:rFonts w:ascii="Arial" w:hAnsi="Arial" w:eastAsia="Times New Roman" w:cs="Arial"/>
          <w:b/>
          <w:lang w:val="en" w:eastAsia="en-GB"/>
        </w:rPr>
        <w:t xml:space="preserve"> – Proportions of men and women staff paid bonus pay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Pr="000E1172" w:rsidR="002F2E41" w:rsidTr="00AE64BA" w14:paraId="2DBB7462" w14:textId="77777777">
        <w:tc>
          <w:tcPr>
            <w:tcW w:w="2263" w:type="dxa"/>
            <w:shd w:val="clear" w:color="auto" w:fill="BFBFBF" w:themeFill="background1" w:themeFillShade="BF"/>
          </w:tcPr>
          <w:p w:rsidRPr="000E1172" w:rsidR="00EA7A3A" w:rsidP="00AE64BA" w:rsidRDefault="00EA7A3A" w14:paraId="4F5F9886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Pr="000E1172" w:rsidR="00EA7A3A" w:rsidP="00AE64BA" w:rsidRDefault="00EA7A3A" w14:paraId="216B20AD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</w:p>
          <w:p w:rsidRPr="000E1172" w:rsidR="00EA7A3A" w:rsidP="00AE64BA" w:rsidRDefault="00EA7A3A" w14:paraId="25D15814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b/>
                <w:lang w:val="en" w:eastAsia="en-GB"/>
              </w:rPr>
              <w:t>% Difference</w:t>
            </w:r>
          </w:p>
          <w:p w:rsidRPr="000E1172" w:rsidR="00EA7A3A" w:rsidP="00AE64BA" w:rsidRDefault="00EA7A3A" w14:paraId="6B2CB8D3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</w:p>
        </w:tc>
      </w:tr>
      <w:tr w:rsidRPr="000E1172" w:rsidR="002F2E41" w:rsidTr="00AE64BA" w14:paraId="59E922F7" w14:textId="77777777">
        <w:tc>
          <w:tcPr>
            <w:tcW w:w="2263" w:type="dxa"/>
            <w:shd w:val="clear" w:color="auto" w:fill="F2F2F2" w:themeFill="background1" w:themeFillShade="F2"/>
          </w:tcPr>
          <w:p w:rsidRPr="000E1172" w:rsidR="00EA7A3A" w:rsidP="00AE64BA" w:rsidRDefault="00EA7A3A" w14:paraId="0B6CA5A7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lang w:val="en" w:eastAsia="en-GB"/>
              </w:rPr>
              <w:t>Mean Bonus Pay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Pr="000E1172" w:rsidR="00EA7A3A" w:rsidP="002279C4" w:rsidRDefault="00EA7A3A" w14:paraId="621BA72C" w14:textId="77777777">
            <w:pPr>
              <w:spacing w:after="150" w:line="270" w:lineRule="atLeast"/>
              <w:jc w:val="center"/>
              <w:rPr>
                <w:rFonts w:ascii="Arial" w:hAnsi="Arial" w:eastAsia="Times New Roman" w:cs="Arial"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lang w:val="en" w:eastAsia="en-GB"/>
              </w:rPr>
              <w:t>0%</w:t>
            </w:r>
          </w:p>
        </w:tc>
      </w:tr>
      <w:tr w:rsidRPr="000E1172" w:rsidR="002F2E41" w:rsidTr="00AE64BA" w14:paraId="6A9A5459" w14:textId="77777777">
        <w:tc>
          <w:tcPr>
            <w:tcW w:w="2263" w:type="dxa"/>
            <w:shd w:val="clear" w:color="auto" w:fill="F2F2F2" w:themeFill="background1" w:themeFillShade="F2"/>
          </w:tcPr>
          <w:p w:rsidRPr="000E1172" w:rsidR="00EA7A3A" w:rsidP="00AE64BA" w:rsidRDefault="00EA7A3A" w14:paraId="5FEF51B8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lang w:val="en" w:eastAsia="en-GB"/>
              </w:rPr>
              <w:t>Median Bonus Pay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Pr="000E1172" w:rsidR="00EA7A3A" w:rsidP="002279C4" w:rsidRDefault="00EA7A3A" w14:paraId="7B1EE093" w14:textId="77777777">
            <w:pPr>
              <w:spacing w:after="150" w:line="270" w:lineRule="atLeast"/>
              <w:jc w:val="center"/>
              <w:rPr>
                <w:rFonts w:ascii="Arial" w:hAnsi="Arial" w:eastAsia="Times New Roman" w:cs="Arial"/>
                <w:lang w:val="en" w:eastAsia="en-GB"/>
              </w:rPr>
            </w:pPr>
            <w:r w:rsidRPr="000E1172">
              <w:rPr>
                <w:rFonts w:ascii="Arial" w:hAnsi="Arial" w:eastAsia="Times New Roman" w:cs="Arial"/>
                <w:lang w:val="en" w:eastAsia="en-GB"/>
              </w:rPr>
              <w:t>0%</w:t>
            </w:r>
          </w:p>
        </w:tc>
      </w:tr>
    </w:tbl>
    <w:p w:rsidRPr="000E1172" w:rsidR="00E03BBA" w:rsidP="006B46A3" w:rsidRDefault="00E03BBA" w14:paraId="3DA2B85E" w14:textId="77777777">
      <w:pPr>
        <w:spacing w:after="150" w:line="270" w:lineRule="atLeast"/>
        <w:rPr>
          <w:rFonts w:ascii="Arial" w:hAnsi="Arial" w:eastAsia="Times New Roman" w:cs="Arial"/>
          <w:i/>
          <w:lang w:val="en" w:eastAsia="en-GB"/>
        </w:rPr>
      </w:pPr>
      <w:r w:rsidRPr="000E1172">
        <w:rPr>
          <w:rFonts w:ascii="Arial" w:hAnsi="Arial" w:eastAsia="Times New Roman" w:cs="Arial"/>
          <w:b/>
          <w:lang w:val="en" w:eastAsia="en-GB"/>
        </w:rPr>
        <w:t xml:space="preserve">  </w:t>
      </w:r>
      <w:r w:rsidRPr="000E1172">
        <w:rPr>
          <w:rFonts w:ascii="Arial" w:hAnsi="Arial" w:eastAsia="Times New Roman" w:cs="Arial"/>
          <w:i/>
          <w:lang w:val="en" w:eastAsia="en-GB"/>
        </w:rPr>
        <w:t>As above</w:t>
      </w:r>
    </w:p>
    <w:p w:rsidRPr="000E1172" w:rsidR="00E03BBA" w:rsidP="006B46A3" w:rsidRDefault="00E03BBA" w14:paraId="2687C66A" w14:textId="212401A0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</w:p>
    <w:p w:rsidRPr="000E1172" w:rsidR="00E03BBA" w:rsidP="006B46A3" w:rsidRDefault="00E03BBA" w14:paraId="41D3A94C" w14:textId="252F482C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</w:p>
    <w:p w:rsidRPr="000E1172" w:rsidR="00E03BBA" w:rsidP="006B46A3" w:rsidRDefault="00E03BBA" w14:paraId="7012ABD0" w14:textId="650E3E7E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</w:p>
    <w:p w:rsidRPr="000E1172" w:rsidR="00E03BBA" w:rsidP="006B46A3" w:rsidRDefault="00E03BBA" w14:paraId="17563749" w14:textId="3C5A080C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</w:p>
    <w:p w:rsidR="002311A1" w:rsidP="006B46A3" w:rsidRDefault="002311A1" w14:paraId="0588779A" w14:textId="77777777">
      <w:pPr>
        <w:spacing w:after="150" w:line="270" w:lineRule="atLeast"/>
        <w:rPr>
          <w:rFonts w:ascii="Arial" w:hAnsi="Arial" w:eastAsia="Times New Roman" w:cs="Arial"/>
          <w:b/>
          <w:sz w:val="20"/>
          <w:szCs w:val="20"/>
          <w:lang w:val="en" w:eastAsia="en-GB"/>
        </w:rPr>
      </w:pPr>
    </w:p>
    <w:p w:rsidRPr="000E1172" w:rsidR="006B46A3" w:rsidP="006B46A3" w:rsidRDefault="006B46A3" w14:paraId="7A83490F" w14:textId="733CFB7A">
      <w:pPr>
        <w:spacing w:after="150" w:line="270" w:lineRule="atLeast"/>
        <w:rPr>
          <w:rFonts w:ascii="Arial" w:hAnsi="Arial" w:eastAsia="Times New Roman" w:cs="Arial"/>
          <w:b/>
          <w:lang w:val="en" w:eastAsia="en-GB"/>
        </w:rPr>
      </w:pPr>
      <w:r w:rsidRPr="000E1172">
        <w:rPr>
          <w:rFonts w:ascii="Arial" w:hAnsi="Arial" w:eastAsia="Times New Roman" w:cs="Arial"/>
          <w:b/>
          <w:lang w:val="en" w:eastAsia="en-GB"/>
        </w:rPr>
        <w:t>Table 4 – Proportions of men and women staff in pay quartile bands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276"/>
      </w:tblGrid>
      <w:tr w:rsidRPr="000E1172" w:rsidR="002F2E41" w:rsidTr="000F32E9" w14:paraId="4D6D1A06" w14:textId="77777777">
        <w:tc>
          <w:tcPr>
            <w:tcW w:w="2830" w:type="dxa"/>
            <w:shd w:val="clear" w:color="auto" w:fill="A6A6A6" w:themeFill="background1" w:themeFillShade="A6"/>
          </w:tcPr>
          <w:p w:rsidRPr="000E1172" w:rsidR="006B46A3" w:rsidP="006B46A3" w:rsidRDefault="006B46A3" w14:paraId="1996C69A" w14:textId="77777777">
            <w:pPr>
              <w:spacing w:before="180" w:after="269"/>
              <w:rPr>
                <w:rFonts w:ascii="Arial" w:hAnsi="Arial" w:eastAsia="Times New Roman" w:cs="Arial"/>
                <w:b/>
                <w:lang w:eastAsia="en-GB"/>
              </w:rPr>
            </w:pPr>
            <w:r w:rsidRPr="000E1172">
              <w:rPr>
                <w:rFonts w:ascii="Arial" w:hAnsi="Arial" w:eastAsia="Times New Roman" w:cs="Arial"/>
                <w:b/>
                <w:lang w:eastAsia="en-GB"/>
              </w:rPr>
              <w:t>Quartile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Pr="000E1172" w:rsidR="006B46A3" w:rsidP="006B46A3" w:rsidRDefault="006B46A3" w14:paraId="484DC90D" w14:textId="77777777">
            <w:pPr>
              <w:spacing w:before="180" w:after="269"/>
              <w:jc w:val="center"/>
              <w:rPr>
                <w:rFonts w:ascii="Arial" w:hAnsi="Arial" w:eastAsia="Times New Roman" w:cs="Arial"/>
                <w:b/>
                <w:lang w:eastAsia="en-GB"/>
              </w:rPr>
            </w:pPr>
            <w:r w:rsidRPr="000E1172">
              <w:rPr>
                <w:rFonts w:ascii="Arial" w:hAnsi="Arial" w:eastAsia="Times New Roman" w:cs="Arial"/>
                <w:b/>
                <w:lang w:eastAsia="en-GB"/>
              </w:rPr>
              <w:t>Men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Pr="000E1172" w:rsidR="006B46A3" w:rsidP="006B46A3" w:rsidRDefault="006B46A3" w14:paraId="6B26E005" w14:textId="77777777">
            <w:pPr>
              <w:spacing w:before="180" w:after="269"/>
              <w:jc w:val="center"/>
              <w:rPr>
                <w:rFonts w:ascii="Arial" w:hAnsi="Arial" w:eastAsia="Times New Roman" w:cs="Arial"/>
                <w:b/>
                <w:lang w:eastAsia="en-GB"/>
              </w:rPr>
            </w:pPr>
            <w:r w:rsidRPr="000E1172">
              <w:rPr>
                <w:rFonts w:ascii="Arial" w:hAnsi="Arial" w:eastAsia="Times New Roman" w:cs="Arial"/>
                <w:b/>
                <w:lang w:eastAsia="en-GB"/>
              </w:rPr>
              <w:t>Women</w:t>
            </w:r>
          </w:p>
        </w:tc>
      </w:tr>
      <w:tr w:rsidRPr="000E1172" w:rsidR="002F2E41" w:rsidTr="002311A1" w14:paraId="2A7C3835" w14:textId="77777777">
        <w:trPr>
          <w:trHeight w:val="552"/>
        </w:trPr>
        <w:tc>
          <w:tcPr>
            <w:tcW w:w="2830" w:type="dxa"/>
            <w:shd w:val="clear" w:color="auto" w:fill="F2F2F2" w:themeFill="background1" w:themeFillShade="F2"/>
          </w:tcPr>
          <w:p w:rsidRPr="000E1172" w:rsidR="006B46A3" w:rsidP="003345D3" w:rsidRDefault="003345D3" w14:paraId="6D8C3BE8" w14:textId="77777777">
            <w:pPr>
              <w:spacing w:before="180" w:after="269"/>
              <w:rPr>
                <w:rFonts w:ascii="Arial" w:hAnsi="Arial" w:eastAsia="Times New Roman" w:cs="Arial"/>
                <w:lang w:eastAsia="en-GB"/>
              </w:rPr>
            </w:pPr>
            <w:r w:rsidRPr="000E1172">
              <w:rPr>
                <w:rFonts w:ascii="Arial" w:hAnsi="Arial" w:eastAsia="Times New Roman" w:cs="Arial"/>
                <w:lang w:eastAsia="en-GB"/>
              </w:rPr>
              <w:t xml:space="preserve">Upper </w:t>
            </w:r>
            <w:r w:rsidRPr="000E1172" w:rsidR="000F32E9">
              <w:rPr>
                <w:rFonts w:ascii="Arial" w:hAnsi="Arial" w:eastAsia="Times New Roman" w:cs="Arial"/>
                <w:lang w:eastAsia="en-GB"/>
              </w:rPr>
              <w:t>Quartile (A)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0E1172" w:rsidR="006B46A3" w:rsidP="00D02C5D" w:rsidRDefault="006F303E" w14:paraId="37E32A6B" w14:textId="7AFC4B94">
            <w:pPr>
              <w:spacing w:before="180" w:after="269"/>
              <w:jc w:val="center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35</w:t>
            </w:r>
            <w:r w:rsidRPr="000E1172" w:rsidR="00F41DB6">
              <w:rPr>
                <w:rFonts w:ascii="Arial" w:hAnsi="Arial" w:eastAsia="Times New Roman" w:cs="Arial"/>
                <w:lang w:eastAsia="en-GB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Pr="000E1172" w:rsidR="006B46A3" w:rsidP="006032BE" w:rsidRDefault="006F303E" w14:paraId="20DF1D85" w14:textId="11AEFE60">
            <w:pPr>
              <w:spacing w:before="180" w:after="269"/>
              <w:jc w:val="center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65</w:t>
            </w:r>
            <w:r w:rsidRPr="000E1172" w:rsidR="00F41DB6">
              <w:rPr>
                <w:rFonts w:ascii="Arial" w:hAnsi="Arial" w:eastAsia="Times New Roman" w:cs="Arial"/>
                <w:lang w:eastAsia="en-GB"/>
              </w:rPr>
              <w:t>%</w:t>
            </w:r>
          </w:p>
        </w:tc>
      </w:tr>
      <w:tr w:rsidRPr="000E1172" w:rsidR="002F2E41" w:rsidTr="000F32E9" w14:paraId="2E41827B" w14:textId="77777777">
        <w:tc>
          <w:tcPr>
            <w:tcW w:w="2830" w:type="dxa"/>
            <w:shd w:val="clear" w:color="auto" w:fill="F2F2F2" w:themeFill="background1" w:themeFillShade="F2"/>
          </w:tcPr>
          <w:p w:rsidRPr="000E1172" w:rsidR="006B46A3" w:rsidP="006B46A3" w:rsidRDefault="003345D3" w14:paraId="7A850844" w14:textId="77777777">
            <w:pPr>
              <w:spacing w:before="180" w:after="269"/>
              <w:rPr>
                <w:rFonts w:ascii="Arial" w:hAnsi="Arial" w:eastAsia="Times New Roman" w:cs="Arial"/>
                <w:lang w:eastAsia="en-GB"/>
              </w:rPr>
            </w:pPr>
            <w:r w:rsidRPr="000E1172">
              <w:rPr>
                <w:rFonts w:ascii="Arial" w:hAnsi="Arial" w:eastAsia="Times New Roman" w:cs="Arial"/>
                <w:lang w:eastAsia="en-GB"/>
              </w:rPr>
              <w:t>Upper</w:t>
            </w:r>
            <w:r w:rsidRPr="000E1172" w:rsidR="000F32E9">
              <w:rPr>
                <w:rFonts w:ascii="Arial" w:hAnsi="Arial" w:eastAsia="Times New Roman" w:cs="Arial"/>
                <w:lang w:eastAsia="en-GB"/>
              </w:rPr>
              <w:t xml:space="preserve"> Middle Quartile (B)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0E1172" w:rsidR="006B46A3" w:rsidP="009B23B0" w:rsidRDefault="00F41DB6" w14:paraId="5C9B0FB0" w14:textId="4354A1A8">
            <w:pPr>
              <w:spacing w:before="180" w:after="269"/>
              <w:jc w:val="center"/>
              <w:rPr>
                <w:rFonts w:ascii="Arial" w:hAnsi="Arial" w:eastAsia="Times New Roman" w:cs="Arial"/>
                <w:lang w:eastAsia="en-GB"/>
              </w:rPr>
            </w:pPr>
            <w:r w:rsidRPr="000E1172">
              <w:rPr>
                <w:rFonts w:ascii="Arial" w:hAnsi="Arial" w:eastAsia="Times New Roman" w:cs="Arial"/>
                <w:lang w:eastAsia="en-GB"/>
              </w:rPr>
              <w:t>2</w:t>
            </w:r>
            <w:r w:rsidR="006F303E">
              <w:rPr>
                <w:rFonts w:ascii="Arial" w:hAnsi="Arial" w:eastAsia="Times New Roman" w:cs="Arial"/>
                <w:lang w:eastAsia="en-GB"/>
              </w:rPr>
              <w:t>1</w:t>
            </w:r>
            <w:r w:rsidRPr="000E1172">
              <w:rPr>
                <w:rFonts w:ascii="Arial" w:hAnsi="Arial" w:eastAsia="Times New Roman" w:cs="Arial"/>
                <w:lang w:eastAsia="en-GB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Pr="000E1172" w:rsidR="006B46A3" w:rsidP="00D02C5D" w:rsidRDefault="006F303E" w14:paraId="43B5BDDC" w14:textId="160F868E">
            <w:pPr>
              <w:spacing w:before="180" w:after="269"/>
              <w:jc w:val="center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79</w:t>
            </w:r>
            <w:r w:rsidRPr="000E1172" w:rsidR="00F41DB6">
              <w:rPr>
                <w:rFonts w:ascii="Arial" w:hAnsi="Arial" w:eastAsia="Times New Roman" w:cs="Arial"/>
                <w:lang w:eastAsia="en-GB"/>
              </w:rPr>
              <w:t>%</w:t>
            </w:r>
          </w:p>
        </w:tc>
      </w:tr>
      <w:tr w:rsidRPr="000E1172" w:rsidR="002F2E41" w:rsidTr="002311A1" w14:paraId="68C4A3E7" w14:textId="77777777">
        <w:trPr>
          <w:trHeight w:val="402"/>
        </w:trPr>
        <w:tc>
          <w:tcPr>
            <w:tcW w:w="2830" w:type="dxa"/>
            <w:shd w:val="clear" w:color="auto" w:fill="F2F2F2" w:themeFill="background1" w:themeFillShade="F2"/>
          </w:tcPr>
          <w:p w:rsidRPr="000E1172" w:rsidR="006B46A3" w:rsidP="006B46A3" w:rsidRDefault="003345D3" w14:paraId="22376F31" w14:textId="77777777">
            <w:pPr>
              <w:spacing w:before="180" w:after="269"/>
              <w:rPr>
                <w:rFonts w:ascii="Arial" w:hAnsi="Arial" w:eastAsia="Times New Roman" w:cs="Arial"/>
                <w:lang w:eastAsia="en-GB"/>
              </w:rPr>
            </w:pPr>
            <w:r w:rsidRPr="000E1172">
              <w:rPr>
                <w:rFonts w:ascii="Arial" w:hAnsi="Arial" w:eastAsia="Times New Roman" w:cs="Arial"/>
                <w:lang w:eastAsia="en-GB"/>
              </w:rPr>
              <w:t>Lower</w:t>
            </w:r>
            <w:r w:rsidRPr="000E1172" w:rsidR="000F32E9">
              <w:rPr>
                <w:rFonts w:ascii="Arial" w:hAnsi="Arial" w:eastAsia="Times New Roman" w:cs="Arial"/>
                <w:lang w:eastAsia="en-GB"/>
              </w:rPr>
              <w:t xml:space="preserve"> Middle Quartile (C)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0E1172" w:rsidR="006B46A3" w:rsidP="009B23B0" w:rsidRDefault="006F303E" w14:paraId="43B181B8" w14:textId="3E1364F7">
            <w:pPr>
              <w:spacing w:before="180" w:after="269"/>
              <w:jc w:val="center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14</w:t>
            </w:r>
            <w:r w:rsidRPr="000E1172" w:rsidR="00F41DB6">
              <w:rPr>
                <w:rFonts w:ascii="Arial" w:hAnsi="Arial" w:eastAsia="Times New Roman" w:cs="Arial"/>
                <w:lang w:eastAsia="en-GB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Pr="000E1172" w:rsidR="006B46A3" w:rsidP="009B23B0" w:rsidRDefault="008423BF" w14:paraId="0BCA3E4C" w14:textId="0D607C9C">
            <w:pPr>
              <w:spacing w:before="180" w:after="269"/>
              <w:jc w:val="center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8</w:t>
            </w:r>
            <w:r w:rsidR="006F303E">
              <w:rPr>
                <w:rFonts w:ascii="Arial" w:hAnsi="Arial" w:eastAsia="Times New Roman" w:cs="Arial"/>
                <w:lang w:eastAsia="en-GB"/>
              </w:rPr>
              <w:t>6</w:t>
            </w:r>
            <w:r w:rsidRPr="000E1172" w:rsidR="00F41DB6">
              <w:rPr>
                <w:rFonts w:ascii="Arial" w:hAnsi="Arial" w:eastAsia="Times New Roman" w:cs="Arial"/>
                <w:lang w:eastAsia="en-GB"/>
              </w:rPr>
              <w:t>%</w:t>
            </w:r>
          </w:p>
        </w:tc>
      </w:tr>
      <w:tr w:rsidRPr="000E1172" w:rsidR="002F2E41" w:rsidTr="000F32E9" w14:paraId="5CF8F63C" w14:textId="77777777">
        <w:tc>
          <w:tcPr>
            <w:tcW w:w="2830" w:type="dxa"/>
            <w:shd w:val="clear" w:color="auto" w:fill="F2F2F2" w:themeFill="background1" w:themeFillShade="F2"/>
          </w:tcPr>
          <w:p w:rsidRPr="000E1172" w:rsidR="006B46A3" w:rsidP="006B46A3" w:rsidRDefault="003345D3" w14:paraId="5AD0BAE5" w14:textId="77777777">
            <w:pPr>
              <w:spacing w:before="180" w:after="269"/>
              <w:rPr>
                <w:rFonts w:ascii="Arial" w:hAnsi="Arial" w:eastAsia="Times New Roman" w:cs="Arial"/>
                <w:lang w:eastAsia="en-GB"/>
              </w:rPr>
            </w:pPr>
            <w:r w:rsidRPr="000E1172">
              <w:rPr>
                <w:rFonts w:ascii="Arial" w:hAnsi="Arial" w:eastAsia="Times New Roman" w:cs="Arial"/>
                <w:lang w:eastAsia="en-GB"/>
              </w:rPr>
              <w:t>Lower</w:t>
            </w:r>
            <w:r w:rsidRPr="000E1172" w:rsidR="000F32E9">
              <w:rPr>
                <w:rFonts w:ascii="Arial" w:hAnsi="Arial" w:eastAsia="Times New Roman" w:cs="Arial"/>
                <w:lang w:eastAsia="en-GB"/>
              </w:rPr>
              <w:t xml:space="preserve"> Quartile (D)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0E1172" w:rsidR="006B46A3" w:rsidP="00D02C5D" w:rsidRDefault="000A6B58" w14:paraId="149EC533" w14:textId="633456EC">
            <w:pPr>
              <w:spacing w:before="180" w:after="269"/>
              <w:jc w:val="center"/>
              <w:rPr>
                <w:rFonts w:ascii="Arial" w:hAnsi="Arial" w:eastAsia="Times New Roman" w:cs="Arial"/>
                <w:lang w:eastAsia="en-GB"/>
              </w:rPr>
            </w:pPr>
            <w:r w:rsidRPr="000E1172">
              <w:rPr>
                <w:rFonts w:ascii="Arial" w:hAnsi="Arial" w:eastAsia="Times New Roman" w:cs="Arial"/>
                <w:lang w:eastAsia="en-GB"/>
              </w:rPr>
              <w:t>3</w:t>
            </w:r>
            <w:r w:rsidR="006F303E">
              <w:rPr>
                <w:rFonts w:ascii="Arial" w:hAnsi="Arial" w:eastAsia="Times New Roman" w:cs="Arial"/>
                <w:lang w:eastAsia="en-GB"/>
              </w:rPr>
              <w:t>2</w:t>
            </w:r>
            <w:r w:rsidRPr="000E1172" w:rsidR="00F41DB6">
              <w:rPr>
                <w:rFonts w:ascii="Arial" w:hAnsi="Arial" w:eastAsia="Times New Roman" w:cs="Arial"/>
                <w:lang w:eastAsia="en-GB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Pr="000E1172" w:rsidR="006B46A3" w:rsidP="006B46A3" w:rsidRDefault="000A6B58" w14:paraId="29FFFF7C" w14:textId="14CEC852">
            <w:pPr>
              <w:spacing w:before="180" w:after="269"/>
              <w:jc w:val="center"/>
              <w:rPr>
                <w:rFonts w:ascii="Arial" w:hAnsi="Arial" w:eastAsia="Times New Roman" w:cs="Arial"/>
                <w:lang w:eastAsia="en-GB"/>
              </w:rPr>
            </w:pPr>
            <w:r w:rsidRPr="000E1172">
              <w:rPr>
                <w:rFonts w:ascii="Arial" w:hAnsi="Arial" w:eastAsia="Times New Roman" w:cs="Arial"/>
                <w:lang w:eastAsia="en-GB"/>
              </w:rPr>
              <w:t>6</w:t>
            </w:r>
            <w:r w:rsidR="006F303E">
              <w:rPr>
                <w:rFonts w:ascii="Arial" w:hAnsi="Arial" w:eastAsia="Times New Roman" w:cs="Arial"/>
                <w:lang w:eastAsia="en-GB"/>
              </w:rPr>
              <w:t>8</w:t>
            </w:r>
            <w:r w:rsidRPr="000E1172" w:rsidR="00F41DB6">
              <w:rPr>
                <w:rFonts w:ascii="Arial" w:hAnsi="Arial" w:eastAsia="Times New Roman" w:cs="Arial"/>
                <w:lang w:eastAsia="en-GB"/>
              </w:rPr>
              <w:t>%</w:t>
            </w:r>
          </w:p>
        </w:tc>
      </w:tr>
      <w:tr w:rsidRPr="000E1172" w:rsidR="002F2E41" w:rsidTr="002311A1" w14:paraId="25E7CEDD" w14:textId="77777777">
        <w:trPr>
          <w:trHeight w:val="394"/>
        </w:trPr>
        <w:tc>
          <w:tcPr>
            <w:tcW w:w="2830" w:type="dxa"/>
            <w:shd w:val="clear" w:color="auto" w:fill="D9D9D9" w:themeFill="background1" w:themeFillShade="D9"/>
          </w:tcPr>
          <w:p w:rsidRPr="000E1172" w:rsidR="006B46A3" w:rsidP="006B46A3" w:rsidRDefault="006B46A3" w14:paraId="560B52DB" w14:textId="77777777">
            <w:pPr>
              <w:spacing w:before="180" w:after="269"/>
              <w:rPr>
                <w:rFonts w:ascii="Arial" w:hAnsi="Arial" w:eastAsia="Times New Roman" w:cs="Arial"/>
                <w:b/>
                <w:lang w:eastAsia="en-GB"/>
              </w:rPr>
            </w:pPr>
            <w:r w:rsidRPr="000E1172">
              <w:rPr>
                <w:rFonts w:ascii="Arial" w:hAnsi="Arial" w:eastAsia="Times New Roman" w:cs="Arial"/>
                <w:b/>
                <w:lang w:eastAsia="en-GB"/>
              </w:rPr>
              <w:t>Overall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Pr="000E1172" w:rsidR="006B46A3" w:rsidP="00D02C5D" w:rsidRDefault="00F41DB6" w14:paraId="0B768D74" w14:textId="60476460">
            <w:pPr>
              <w:spacing w:before="180" w:after="269"/>
              <w:jc w:val="center"/>
              <w:rPr>
                <w:rFonts w:ascii="Arial" w:hAnsi="Arial" w:eastAsia="Times New Roman" w:cs="Arial"/>
                <w:b/>
                <w:lang w:eastAsia="en-GB"/>
              </w:rPr>
            </w:pPr>
            <w:r w:rsidRPr="000E1172">
              <w:rPr>
                <w:rFonts w:ascii="Arial" w:hAnsi="Arial" w:eastAsia="Times New Roman" w:cs="Arial"/>
                <w:b/>
                <w:lang w:eastAsia="en-GB"/>
              </w:rPr>
              <w:t>2</w:t>
            </w:r>
            <w:r w:rsidR="006F303E">
              <w:rPr>
                <w:rFonts w:ascii="Arial" w:hAnsi="Arial" w:eastAsia="Times New Roman" w:cs="Arial"/>
                <w:b/>
                <w:lang w:eastAsia="en-GB"/>
              </w:rPr>
              <w:t>5</w:t>
            </w:r>
            <w:r w:rsidRPr="000E1172">
              <w:rPr>
                <w:rFonts w:ascii="Arial" w:hAnsi="Arial" w:eastAsia="Times New Roman" w:cs="Arial"/>
                <w:b/>
                <w:lang w:eastAsia="en-GB"/>
              </w:rPr>
              <w:t>%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Pr="000E1172" w:rsidR="006B46A3" w:rsidP="00D02C5D" w:rsidRDefault="00F41DB6" w14:paraId="5E1D5236" w14:textId="67695311">
            <w:pPr>
              <w:spacing w:before="180" w:after="269"/>
              <w:jc w:val="center"/>
              <w:rPr>
                <w:rFonts w:ascii="Arial" w:hAnsi="Arial" w:eastAsia="Times New Roman" w:cs="Arial"/>
                <w:b/>
                <w:lang w:eastAsia="en-GB"/>
              </w:rPr>
            </w:pPr>
            <w:r w:rsidRPr="000E1172">
              <w:rPr>
                <w:rFonts w:ascii="Arial" w:hAnsi="Arial" w:eastAsia="Times New Roman" w:cs="Arial"/>
                <w:b/>
                <w:lang w:eastAsia="en-GB"/>
              </w:rPr>
              <w:t>7</w:t>
            </w:r>
            <w:r w:rsidR="006F303E">
              <w:rPr>
                <w:rFonts w:ascii="Arial" w:hAnsi="Arial" w:eastAsia="Times New Roman" w:cs="Arial"/>
                <w:b/>
                <w:lang w:eastAsia="en-GB"/>
              </w:rPr>
              <w:t>5</w:t>
            </w:r>
            <w:r w:rsidRPr="000E1172">
              <w:rPr>
                <w:rFonts w:ascii="Arial" w:hAnsi="Arial" w:eastAsia="Times New Roman" w:cs="Arial"/>
                <w:b/>
                <w:lang w:eastAsia="en-GB"/>
              </w:rPr>
              <w:t>%</w:t>
            </w:r>
          </w:p>
        </w:tc>
      </w:tr>
    </w:tbl>
    <w:p w:rsidR="005B5AC7" w:rsidP="00EA7A3A" w:rsidRDefault="005B5AC7" w14:paraId="64B43E6B" w14:textId="2E1AC07C">
      <w:pPr>
        <w:rPr>
          <w:rFonts w:ascii="Arial" w:hAnsi="Arial" w:eastAsia="Times New Roman" w:cs="Arial"/>
          <w:sz w:val="20"/>
          <w:szCs w:val="20"/>
          <w:lang w:val="en" w:eastAsia="en-GB"/>
        </w:rPr>
      </w:pPr>
    </w:p>
    <w:p w:rsidR="00472A86" w:rsidP="00EA7A3A" w:rsidRDefault="00472A86" w14:paraId="5A17CEA3" w14:textId="77777777">
      <w:pPr>
        <w:rPr>
          <w:rFonts w:ascii="Arial" w:hAnsi="Arial" w:eastAsia="Times New Roman" w:cs="Arial"/>
          <w:sz w:val="20"/>
          <w:szCs w:val="20"/>
          <w:lang w:val="en" w:eastAsia="en-GB"/>
        </w:rPr>
      </w:pPr>
    </w:p>
    <w:p w:rsidR="00472A86" w:rsidP="00EA7A3A" w:rsidRDefault="00472A86" w14:paraId="0346441D" w14:textId="0DFD7DE8">
      <w:pPr>
        <w:rPr>
          <w:rFonts w:ascii="Arial" w:hAnsi="Arial" w:eastAsia="Times New Roman" w:cs="Arial"/>
          <w:sz w:val="20"/>
          <w:szCs w:val="20"/>
          <w:lang w:val="en" w:eastAsia="en-GB"/>
        </w:rPr>
      </w:pPr>
    </w:p>
    <w:p w:rsidR="00472A86" w:rsidP="00EA7A3A" w:rsidRDefault="00472A86" w14:paraId="2657A56A" w14:textId="77777777">
      <w:pPr>
        <w:rPr>
          <w:rFonts w:ascii="Arial" w:hAnsi="Arial" w:eastAsia="Times New Roman" w:cs="Arial"/>
          <w:sz w:val="20"/>
          <w:szCs w:val="20"/>
          <w:lang w:val="en" w:eastAsia="en-GB"/>
        </w:rPr>
      </w:pPr>
    </w:p>
    <w:p w:rsidRPr="00D9010C" w:rsidR="00642E18" w:rsidP="00642E18" w:rsidRDefault="00642E18" w14:paraId="071439A3" w14:textId="3FD7B25F">
      <w:pPr>
        <w:rPr>
          <w:rFonts w:ascii="Arial" w:hAnsi="Arial" w:eastAsia="Times New Roman" w:cs="Arial"/>
          <w:lang w:val="en" w:eastAsia="en-GB"/>
        </w:rPr>
      </w:pPr>
    </w:p>
    <w:p w:rsidR="006E6F45" w:rsidP="006E6F45" w:rsidRDefault="006E6F45" w14:paraId="22048BFB" w14:textId="77777777">
      <w:pPr>
        <w:spacing w:after="150" w:line="270" w:lineRule="atLeast"/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="006E6F45" w:rsidP="006E6F45" w:rsidRDefault="006E6F45" w14:paraId="3B77414E" w14:textId="77777777">
      <w:pPr>
        <w:spacing w:after="150" w:line="270" w:lineRule="atLeast"/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="006E6F45" w:rsidP="006E6F45" w:rsidRDefault="006E6F45" w14:paraId="52917596" w14:textId="77777777">
      <w:pPr>
        <w:spacing w:after="150" w:line="270" w:lineRule="atLeast"/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="006E6F45" w:rsidP="006E6F45" w:rsidRDefault="006E6F45" w14:paraId="227FB99E" w14:textId="000D5E12">
      <w:pPr>
        <w:spacing w:after="150" w:line="270" w:lineRule="atLeast"/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="006E6F45" w:rsidP="006E6F45" w:rsidRDefault="006E6F45" w14:paraId="4A0EDB2E" w14:textId="4DB5449C">
      <w:pPr>
        <w:spacing w:after="150" w:line="270" w:lineRule="atLeast"/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Pr="00D9010C" w:rsidR="006E6F45" w:rsidP="006E6F45" w:rsidRDefault="006E6F45" w14:paraId="005705D3" w14:textId="36760E36">
      <w:pPr>
        <w:rPr>
          <w:rFonts w:ascii="Arial" w:hAnsi="Arial" w:cs="Arial"/>
          <w:i/>
        </w:rPr>
      </w:pPr>
      <w:r w:rsidRPr="00D9010C">
        <w:rPr>
          <w:rFonts w:ascii="Arial" w:hAnsi="Arial" w:cs="Arial"/>
          <w:i/>
        </w:rPr>
        <w:lastRenderedPageBreak/>
        <w:t xml:space="preserve">Table 4 illustrates the proportion of men and women in the quartile bands and shows that St Basils has a </w:t>
      </w:r>
      <w:r>
        <w:rPr>
          <w:rFonts w:ascii="Arial" w:hAnsi="Arial" w:cs="Arial"/>
          <w:i/>
        </w:rPr>
        <w:t xml:space="preserve">significantly </w:t>
      </w:r>
      <w:r w:rsidRPr="00D9010C">
        <w:rPr>
          <w:rFonts w:ascii="Arial" w:hAnsi="Arial" w:cs="Arial"/>
          <w:i/>
        </w:rPr>
        <w:t xml:space="preserve">higher proportion of women in all quartiles.  </w:t>
      </w:r>
      <w:r>
        <w:rPr>
          <w:rFonts w:ascii="Arial" w:hAnsi="Arial" w:cs="Arial"/>
          <w:i/>
        </w:rPr>
        <w:t>However,</w:t>
      </w:r>
      <w:r w:rsidRPr="00D9010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the highest % of </w:t>
      </w:r>
      <w:r w:rsidRPr="00D9010C">
        <w:rPr>
          <w:rFonts w:ascii="Arial" w:hAnsi="Arial" w:cs="Arial"/>
          <w:i/>
        </w:rPr>
        <w:t xml:space="preserve">women </w:t>
      </w:r>
      <w:r>
        <w:rPr>
          <w:rFonts w:ascii="Arial" w:hAnsi="Arial" w:cs="Arial"/>
          <w:i/>
        </w:rPr>
        <w:t>are in the Lower Middle Quartile whereas this quartile contains the smallest % of men</w:t>
      </w:r>
      <w:r w:rsidRPr="00D9010C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 xml:space="preserve">This quartile is where most frontline workers would fall, which make up the largest proportion of St Basils’ workforce, and are mostly worked by women at St Basils. </w:t>
      </w:r>
      <w:r w:rsidRPr="00D9010C">
        <w:rPr>
          <w:rFonts w:ascii="Arial" w:hAnsi="Arial" w:cs="Arial"/>
          <w:i/>
        </w:rPr>
        <w:t>This explains why there is a small pay gap at St Basils</w:t>
      </w:r>
      <w:r>
        <w:rPr>
          <w:rFonts w:ascii="Arial" w:hAnsi="Arial" w:cs="Arial"/>
          <w:i/>
        </w:rPr>
        <w:t>.</w:t>
      </w:r>
    </w:p>
    <w:p w:rsidR="006E6F45" w:rsidP="006E6F45" w:rsidRDefault="006E6F45" w14:paraId="42A2F327" w14:textId="77777777">
      <w:pPr>
        <w:spacing w:after="150" w:line="270" w:lineRule="atLeast"/>
        <w:rPr>
          <w:rFonts w:ascii="Arial" w:hAnsi="Arial" w:eastAsia="Times New Roman" w:cs="Arial"/>
          <w:b/>
          <w:sz w:val="32"/>
          <w:szCs w:val="20"/>
          <w:lang w:val="en" w:eastAsia="en-GB"/>
        </w:rPr>
      </w:pPr>
    </w:p>
    <w:p w:rsidRPr="005B5AC7" w:rsidR="006E6F45" w:rsidP="006E6F45" w:rsidRDefault="006E6F45" w14:paraId="653E916A" w14:textId="1BDE850D">
      <w:pPr>
        <w:spacing w:after="150" w:line="270" w:lineRule="atLeast"/>
        <w:rPr>
          <w:rFonts w:ascii="Arial" w:hAnsi="Arial" w:eastAsia="Times New Roman" w:cs="Arial"/>
          <w:b/>
          <w:sz w:val="32"/>
          <w:szCs w:val="20"/>
          <w:lang w:val="en" w:eastAsia="en-GB"/>
        </w:rPr>
      </w:pPr>
      <w:r w:rsidRPr="005B5AC7">
        <w:rPr>
          <w:rFonts w:ascii="Arial" w:hAnsi="Arial" w:eastAsia="Times New Roman" w:cs="Arial"/>
          <w:b/>
          <w:sz w:val="32"/>
          <w:szCs w:val="20"/>
          <w:lang w:val="en" w:eastAsia="en-GB"/>
        </w:rPr>
        <w:t>Continuing Actions</w:t>
      </w:r>
    </w:p>
    <w:p w:rsidR="002311A1" w:rsidP="14E37753" w:rsidRDefault="006E6F45" w14:paraId="162158D9" w14:textId="07E21AEF">
      <w:pPr>
        <w:rPr>
          <w:rFonts w:ascii="Arial" w:hAnsi="Arial" w:eastAsia="Times New Roman" w:cs="Arial"/>
          <w:lang w:val="en-US" w:eastAsia="en-GB"/>
        </w:rPr>
      </w:pPr>
      <w:r w:rsidRPr="14E37753" w:rsidR="006E6F45">
        <w:rPr>
          <w:rFonts w:ascii="Arial" w:hAnsi="Arial" w:eastAsia="Times New Roman" w:cs="Arial"/>
          <w:lang w:val="en-US" w:eastAsia="en-GB"/>
        </w:rPr>
        <w:t>In our Equality</w:t>
      </w:r>
      <w:r w:rsidRPr="14E37753" w:rsidR="006E6F45">
        <w:rPr>
          <w:rFonts w:ascii="Arial" w:hAnsi="Arial" w:eastAsia="Times New Roman" w:cs="Arial"/>
          <w:lang w:val="en-US" w:eastAsia="en-GB"/>
        </w:rPr>
        <w:t>,</w:t>
      </w:r>
      <w:r w:rsidRPr="14E37753" w:rsidR="006E6F45">
        <w:rPr>
          <w:rFonts w:ascii="Arial" w:hAnsi="Arial" w:eastAsia="Times New Roman" w:cs="Arial"/>
          <w:lang w:val="en-US" w:eastAsia="en-GB"/>
        </w:rPr>
        <w:t xml:space="preserve"> Diversity and Inclusion Policy and Action Plan, we are committed to ensuring that we continue to reflect the communities we serve at all levels within St Basils and </w:t>
      </w:r>
      <w:r w:rsidRPr="14E37753" w:rsidR="002311A1">
        <w:rPr>
          <w:rFonts w:ascii="Arial" w:hAnsi="Arial" w:eastAsia="Times New Roman" w:cs="Arial"/>
          <w:lang w:val="en-US" w:eastAsia="en-GB"/>
        </w:rPr>
        <w:t xml:space="preserve">take steps which address systemic inequities to achieve fairness and inclusion. This includes making sure that the St Basils’ workforce, especially </w:t>
      </w:r>
      <w:r w:rsidRPr="14E37753" w:rsidR="00D14473">
        <w:rPr>
          <w:rFonts w:ascii="Arial" w:hAnsi="Arial" w:eastAsia="Times New Roman" w:cs="Arial"/>
          <w:lang w:val="en-US" w:eastAsia="en-GB"/>
        </w:rPr>
        <w:t xml:space="preserve">those in </w:t>
      </w:r>
      <w:r w:rsidRPr="14E37753" w:rsidR="002311A1">
        <w:rPr>
          <w:rFonts w:ascii="Arial" w:hAnsi="Arial" w:eastAsia="Times New Roman" w:cs="Arial"/>
          <w:lang w:val="en-US" w:eastAsia="en-GB"/>
        </w:rPr>
        <w:t>frontline</w:t>
      </w:r>
      <w:r w:rsidRPr="14E37753" w:rsidR="00D14473">
        <w:rPr>
          <w:rFonts w:ascii="Arial" w:hAnsi="Arial" w:eastAsia="Times New Roman" w:cs="Arial"/>
          <w:lang w:val="en-US" w:eastAsia="en-GB"/>
        </w:rPr>
        <w:t xml:space="preserve"> roles,</w:t>
      </w:r>
      <w:r w:rsidRPr="14E37753" w:rsidR="002311A1">
        <w:rPr>
          <w:rFonts w:ascii="Arial" w:hAnsi="Arial" w:eastAsia="Times New Roman" w:cs="Arial"/>
          <w:lang w:val="en-US" w:eastAsia="en-GB"/>
        </w:rPr>
        <w:t xml:space="preserve"> has a more equal representation of men</w:t>
      </w:r>
      <w:r w:rsidRPr="14E37753" w:rsidR="00CD3CA2">
        <w:rPr>
          <w:rFonts w:ascii="Arial" w:hAnsi="Arial" w:eastAsia="Times New Roman" w:cs="Arial"/>
          <w:lang w:val="en-US" w:eastAsia="en-GB"/>
        </w:rPr>
        <w:t>, who currently make up</w:t>
      </w:r>
      <w:r w:rsidRPr="14E37753" w:rsidR="00D9679A">
        <w:rPr>
          <w:rFonts w:ascii="Arial" w:hAnsi="Arial" w:eastAsia="Times New Roman" w:cs="Arial"/>
          <w:lang w:val="en-US" w:eastAsia="en-GB"/>
        </w:rPr>
        <w:t xml:space="preserve"> only</w:t>
      </w:r>
      <w:r w:rsidRPr="14E37753" w:rsidR="00CD3CA2">
        <w:rPr>
          <w:rFonts w:ascii="Arial" w:hAnsi="Arial" w:eastAsia="Times New Roman" w:cs="Arial"/>
          <w:lang w:val="en-US" w:eastAsia="en-GB"/>
        </w:rPr>
        <w:t xml:space="preserve"> 25% of St Basils’ workforce</w:t>
      </w:r>
      <w:r w:rsidRPr="14E37753" w:rsidR="00D14473">
        <w:rPr>
          <w:rFonts w:ascii="Arial" w:hAnsi="Arial" w:eastAsia="Times New Roman" w:cs="Arial"/>
          <w:lang w:val="en-US" w:eastAsia="en-GB"/>
        </w:rPr>
        <w:t xml:space="preserve">. </w:t>
      </w:r>
      <w:r w:rsidRPr="14E37753" w:rsidR="00CD3CA2">
        <w:rPr>
          <w:rFonts w:ascii="Arial" w:hAnsi="Arial" w:eastAsia="Times New Roman" w:cs="Arial"/>
          <w:lang w:val="en-US" w:eastAsia="en-GB"/>
        </w:rPr>
        <w:t>Having a more balanced workforce with regards to gender is especially</w:t>
      </w:r>
      <w:r w:rsidRPr="14E37753" w:rsidR="00D14473">
        <w:rPr>
          <w:rFonts w:ascii="Arial" w:hAnsi="Arial" w:eastAsia="Times New Roman" w:cs="Arial"/>
          <w:lang w:val="en-US" w:eastAsia="en-GB"/>
        </w:rPr>
        <w:t xml:space="preserve"> important for St Basils as </w:t>
      </w:r>
      <w:r w:rsidRPr="14E37753" w:rsidR="00CD3CA2">
        <w:rPr>
          <w:rFonts w:ascii="Arial" w:hAnsi="Arial" w:eastAsia="Times New Roman" w:cs="Arial"/>
          <w:lang w:val="en-US" w:eastAsia="en-GB"/>
        </w:rPr>
        <w:t xml:space="preserve">approx. 59% of the young people who approach us for </w:t>
      </w:r>
      <w:r w:rsidRPr="14E37753" w:rsidR="00CD3CA2">
        <w:rPr>
          <w:rFonts w:ascii="Arial" w:hAnsi="Arial" w:eastAsia="Times New Roman" w:cs="Arial"/>
          <w:lang w:val="en-US" w:eastAsia="en-GB"/>
        </w:rPr>
        <w:t>assistance</w:t>
      </w:r>
      <w:r w:rsidRPr="14E37753" w:rsidR="00CD3CA2">
        <w:rPr>
          <w:rFonts w:ascii="Arial" w:hAnsi="Arial" w:eastAsia="Times New Roman" w:cs="Arial"/>
          <w:lang w:val="en-US" w:eastAsia="en-GB"/>
        </w:rPr>
        <w:t xml:space="preserve"> are male</w:t>
      </w:r>
      <w:r w:rsidRPr="14E37753" w:rsidR="00D14473">
        <w:rPr>
          <w:rFonts w:ascii="Arial" w:hAnsi="Arial" w:eastAsia="Times New Roman" w:cs="Arial"/>
          <w:lang w:val="en-US" w:eastAsia="en-GB"/>
        </w:rPr>
        <w:t>.</w:t>
      </w:r>
      <w:r w:rsidRPr="14E37753" w:rsidR="002E74CC">
        <w:rPr>
          <w:rFonts w:ascii="Arial" w:hAnsi="Arial" w:eastAsia="Times New Roman" w:cs="Arial"/>
          <w:lang w:val="en-US" w:eastAsia="en-GB"/>
        </w:rPr>
        <w:t xml:space="preserve"> Encourag</w:t>
      </w:r>
      <w:r w:rsidRPr="14E37753" w:rsidR="0078267B">
        <w:rPr>
          <w:rFonts w:ascii="Arial" w:hAnsi="Arial" w:eastAsia="Times New Roman" w:cs="Arial"/>
          <w:lang w:val="en-US" w:eastAsia="en-GB"/>
        </w:rPr>
        <w:t>ing</w:t>
      </w:r>
      <w:r w:rsidRPr="14E37753" w:rsidR="002E74CC">
        <w:rPr>
          <w:rFonts w:ascii="Arial" w:hAnsi="Arial" w:eastAsia="Times New Roman" w:cs="Arial"/>
          <w:lang w:val="en-US" w:eastAsia="en-GB"/>
        </w:rPr>
        <w:t xml:space="preserve"> more men to apply for roles at St Basils, particularly in frontline </w:t>
      </w:r>
      <w:r w:rsidRPr="14E37753" w:rsidR="00CD3CA2">
        <w:rPr>
          <w:rFonts w:ascii="Arial" w:hAnsi="Arial" w:eastAsia="Times New Roman" w:cs="Arial"/>
          <w:lang w:val="en-US" w:eastAsia="en-GB"/>
        </w:rPr>
        <w:t xml:space="preserve">Progression and Housing Management </w:t>
      </w:r>
      <w:r w:rsidRPr="14E37753" w:rsidR="002E74CC">
        <w:rPr>
          <w:rFonts w:ascii="Arial" w:hAnsi="Arial" w:eastAsia="Times New Roman" w:cs="Arial"/>
          <w:lang w:val="en-US" w:eastAsia="en-GB"/>
        </w:rPr>
        <w:t>roles, is</w:t>
      </w:r>
      <w:r w:rsidRPr="14E37753" w:rsidR="00FB4245">
        <w:rPr>
          <w:rFonts w:ascii="Arial" w:hAnsi="Arial" w:eastAsia="Times New Roman" w:cs="Arial"/>
          <w:lang w:val="en-US" w:eastAsia="en-GB"/>
        </w:rPr>
        <w:t xml:space="preserve"> </w:t>
      </w:r>
      <w:r w:rsidRPr="14E37753" w:rsidR="002E74CC">
        <w:rPr>
          <w:rFonts w:ascii="Arial" w:hAnsi="Arial" w:eastAsia="Times New Roman" w:cs="Arial"/>
          <w:lang w:val="en-US" w:eastAsia="en-GB"/>
        </w:rPr>
        <w:t>one of our EDI priorities for the year ahead.</w:t>
      </w:r>
    </w:p>
    <w:p w:rsidR="002311A1" w:rsidP="00642E18" w:rsidRDefault="002311A1" w14:paraId="55DF852C" w14:textId="77777777">
      <w:pPr>
        <w:rPr>
          <w:rFonts w:ascii="Arial" w:hAnsi="Arial" w:eastAsia="Times New Roman" w:cs="Arial"/>
          <w:lang w:val="en" w:eastAsia="en-GB"/>
        </w:rPr>
      </w:pPr>
    </w:p>
    <w:p w:rsidRPr="00507210" w:rsidR="00507210" w:rsidP="00642E18" w:rsidRDefault="00642E18" w14:paraId="4FE8C79F" w14:textId="185A28E5">
      <w:pPr>
        <w:rPr>
          <w:rFonts w:ascii="Arial" w:hAnsi="Arial" w:eastAsia="Times New Roman" w:cs="Arial"/>
          <w:b/>
          <w:sz w:val="32"/>
          <w:szCs w:val="20"/>
          <w:lang w:val="en" w:eastAsia="en-GB"/>
        </w:rPr>
      </w:pPr>
      <w:r>
        <w:rPr>
          <w:rFonts w:ascii="Arial" w:hAnsi="Arial" w:eastAsia="Times New Roman" w:cs="Arial"/>
          <w:b/>
          <w:sz w:val="32"/>
          <w:szCs w:val="20"/>
          <w:lang w:val="en" w:eastAsia="en-GB"/>
        </w:rPr>
        <w:t>W</w:t>
      </w:r>
      <w:r w:rsidRPr="00507210" w:rsidR="00507210">
        <w:rPr>
          <w:rFonts w:ascii="Arial" w:hAnsi="Arial" w:eastAsia="Times New Roman" w:cs="Arial"/>
          <w:b/>
          <w:sz w:val="32"/>
          <w:szCs w:val="20"/>
          <w:lang w:val="en" w:eastAsia="en-GB"/>
        </w:rPr>
        <w:t>ritten Statement</w:t>
      </w:r>
    </w:p>
    <w:p w:rsidRPr="000E1172" w:rsidR="00507210" w:rsidP="14E37753" w:rsidRDefault="00507210" w14:paraId="43BC5C9B" w14:textId="586B4F6E">
      <w:pPr>
        <w:rPr>
          <w:rFonts w:ascii="Arial" w:hAnsi="Arial" w:eastAsia="Times New Roman" w:cs="Arial"/>
          <w:lang w:val="en-US" w:eastAsia="en-GB"/>
        </w:rPr>
      </w:pPr>
      <w:r w:rsidRPr="14E37753" w:rsidR="00507210">
        <w:rPr>
          <w:rFonts w:ascii="Arial" w:hAnsi="Arial" w:eastAsia="Times New Roman" w:cs="Arial"/>
          <w:lang w:val="en-US" w:eastAsia="en-GB"/>
        </w:rPr>
        <w:t xml:space="preserve">I confirm that the published information is </w:t>
      </w:r>
      <w:r w:rsidRPr="14E37753" w:rsidR="00507210">
        <w:rPr>
          <w:rFonts w:ascii="Arial" w:hAnsi="Arial" w:eastAsia="Times New Roman" w:cs="Arial"/>
          <w:lang w:val="en-US" w:eastAsia="en-GB"/>
        </w:rPr>
        <w:t>accurate</w:t>
      </w:r>
      <w:r w:rsidRPr="14E37753" w:rsidR="00507210">
        <w:rPr>
          <w:rFonts w:ascii="Arial" w:hAnsi="Arial" w:eastAsia="Times New Roman" w:cs="Arial"/>
          <w:lang w:val="en-US" w:eastAsia="en-GB"/>
        </w:rPr>
        <w:t>,</w:t>
      </w:r>
    </w:p>
    <w:p w:rsidRPr="002F2E41" w:rsidR="00507210" w:rsidP="00EA7A3A" w:rsidRDefault="00507210" w14:paraId="36493438" w14:textId="77777777">
      <w:pPr>
        <w:rPr>
          <w:rFonts w:ascii="Arial" w:hAnsi="Arial" w:eastAsia="Times New Roman" w:cs="Arial"/>
          <w:sz w:val="20"/>
          <w:szCs w:val="20"/>
          <w:lang w:val="en" w:eastAsia="en-GB"/>
        </w:rPr>
      </w:pPr>
    </w:p>
    <w:p w:rsidR="00E25DD4" w:rsidP="00E57B13" w:rsidRDefault="00927ED7" w14:paraId="008A1D3E" w14:textId="77777777">
      <w:pPr>
        <w:rPr>
          <w:rFonts w:ascii="Arial" w:hAnsi="Arial" w:eastAsia="Times New Roman" w:cs="Arial"/>
          <w:sz w:val="20"/>
          <w:szCs w:val="20"/>
          <w:lang w:val="en" w:eastAsia="en-GB"/>
        </w:rPr>
      </w:pPr>
      <w:r w:rsidRPr="00927ED7">
        <w:rPr>
          <w:rFonts w:ascii="Arial" w:hAnsi="Arial" w:eastAsia="Times New Roman" w:cs="Arial"/>
          <w:noProof/>
          <w:sz w:val="20"/>
          <w:szCs w:val="20"/>
          <w:lang w:eastAsia="en-GB"/>
        </w:rPr>
        <w:drawing>
          <wp:inline distT="0" distB="0" distL="0" distR="0" wp14:anchorId="5285BB49" wp14:editId="099E79EC">
            <wp:extent cx="2241774" cy="1415332"/>
            <wp:effectExtent l="0" t="0" r="6350" b="0"/>
            <wp:docPr id="1" name="Picture 1" descr="C:\Users\chris.knight\AppData\Local\Microsoft\Windows\INetCache\Content.Outlook\JBBERMQ1\Jean's signi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.knight\AppData\Local\Microsoft\Windows\INetCache\Content.Outlook\JBBERMQ1\Jean's signi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24" cy="141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E1172" w:rsidR="00AE64BA" w:rsidP="00E57B13" w:rsidRDefault="00AE64BA" w14:paraId="4D908E6B" w14:textId="77777777">
      <w:pPr>
        <w:rPr>
          <w:rFonts w:ascii="Arial" w:hAnsi="Arial" w:eastAsia="Times New Roman" w:cs="Arial"/>
          <w:lang w:val="en" w:eastAsia="en-GB"/>
        </w:rPr>
      </w:pPr>
      <w:r w:rsidRPr="000E1172">
        <w:rPr>
          <w:rFonts w:ascii="Arial" w:hAnsi="Arial" w:eastAsia="Times New Roman" w:cs="Arial"/>
          <w:lang w:val="en" w:eastAsia="en-GB"/>
        </w:rPr>
        <w:t>Jean Templeton</w:t>
      </w:r>
    </w:p>
    <w:p w:rsidRPr="00771EAE" w:rsidR="00D9010C" w:rsidRDefault="00AE64BA" w14:paraId="04F29606" w14:textId="6A0C0D99">
      <w:pPr>
        <w:rPr>
          <w:rFonts w:ascii="Arial" w:hAnsi="Arial" w:eastAsia="Times New Roman" w:cs="Arial"/>
          <w:lang w:val="en" w:eastAsia="en-GB"/>
        </w:rPr>
      </w:pPr>
      <w:r w:rsidRPr="000E1172">
        <w:rPr>
          <w:rFonts w:ascii="Arial" w:hAnsi="Arial" w:eastAsia="Times New Roman" w:cs="Arial"/>
          <w:lang w:val="en" w:eastAsia="en-GB"/>
        </w:rPr>
        <w:t>Chief Executive</w:t>
      </w:r>
      <w:r w:rsidR="00472A86">
        <w:rPr>
          <w:rFonts w:ascii="Arial" w:hAnsi="Arial" w:eastAsia="Times New Roman" w:cs="Arial"/>
          <w:lang w:val="en" w:eastAsia="en-GB"/>
        </w:rPr>
        <w:t xml:space="preserve"> Officer</w:t>
      </w:r>
    </w:p>
    <w:p w:rsidR="00507210" w:rsidRDefault="00507210" w14:paraId="67A07FA6" w14:textId="77777777">
      <w:pPr>
        <w:rPr>
          <w:rFonts w:ascii="Arial" w:hAnsi="Arial" w:cs="Arial"/>
          <w:sz w:val="20"/>
          <w:szCs w:val="20"/>
        </w:rPr>
      </w:pPr>
    </w:p>
    <w:p w:rsidR="00D14473" w:rsidRDefault="00D14473" w14:paraId="104C3949" w14:textId="77777777">
      <w:pPr>
        <w:rPr>
          <w:rFonts w:ascii="Arial" w:hAnsi="Arial" w:cs="Arial"/>
          <w:sz w:val="20"/>
          <w:szCs w:val="20"/>
        </w:rPr>
      </w:pPr>
    </w:p>
    <w:p w:rsidR="00D14473" w:rsidRDefault="00D14473" w14:paraId="0CFD4AEB" w14:textId="77777777">
      <w:pPr>
        <w:rPr>
          <w:rFonts w:ascii="Arial" w:hAnsi="Arial" w:cs="Arial"/>
          <w:sz w:val="20"/>
          <w:szCs w:val="20"/>
        </w:rPr>
      </w:pPr>
    </w:p>
    <w:p w:rsidR="00D14473" w:rsidRDefault="00D14473" w14:paraId="7FA77FF3" w14:textId="77777777">
      <w:pPr>
        <w:rPr>
          <w:rFonts w:ascii="Arial" w:hAnsi="Arial" w:cs="Arial"/>
          <w:sz w:val="20"/>
          <w:szCs w:val="20"/>
        </w:rPr>
      </w:pPr>
    </w:p>
    <w:p w:rsidR="00D14473" w:rsidRDefault="00D14473" w14:paraId="7705EE90" w14:textId="77777777">
      <w:pPr>
        <w:rPr>
          <w:rFonts w:ascii="Arial" w:hAnsi="Arial" w:cs="Arial"/>
          <w:sz w:val="20"/>
          <w:szCs w:val="20"/>
        </w:rPr>
      </w:pPr>
    </w:p>
    <w:p w:rsidR="00D14473" w:rsidRDefault="00D14473" w14:paraId="0DE39D96" w14:textId="77777777">
      <w:pPr>
        <w:rPr>
          <w:rFonts w:ascii="Arial" w:hAnsi="Arial" w:cs="Arial"/>
          <w:sz w:val="20"/>
          <w:szCs w:val="20"/>
        </w:rPr>
      </w:pPr>
    </w:p>
    <w:p w:rsidR="00FB4245" w:rsidRDefault="00FB4245" w14:paraId="3305D9C6" w14:textId="77777777">
      <w:pPr>
        <w:rPr>
          <w:rFonts w:ascii="Arial" w:hAnsi="Arial" w:cs="Arial"/>
          <w:sz w:val="20"/>
          <w:szCs w:val="20"/>
        </w:rPr>
      </w:pPr>
    </w:p>
    <w:p w:rsidR="00D14473" w:rsidRDefault="00D14473" w14:paraId="4374EEB7" w14:textId="77777777">
      <w:pPr>
        <w:rPr>
          <w:rFonts w:ascii="Arial" w:hAnsi="Arial" w:cs="Arial"/>
          <w:sz w:val="20"/>
          <w:szCs w:val="20"/>
        </w:rPr>
      </w:pPr>
    </w:p>
    <w:p w:rsidRPr="00D9010C" w:rsidR="00446551" w:rsidRDefault="00DD55D6" w14:paraId="4AB21B40" w14:textId="124BA6BB">
      <w:pPr>
        <w:rPr>
          <w:rFonts w:ascii="Arial" w:hAnsi="Arial" w:cs="Arial"/>
          <w:b/>
        </w:rPr>
      </w:pPr>
      <w:r w:rsidRPr="00D9010C">
        <w:rPr>
          <w:rFonts w:ascii="Arial" w:hAnsi="Arial" w:cs="Arial"/>
          <w:b/>
        </w:rPr>
        <w:lastRenderedPageBreak/>
        <w:t>A</w:t>
      </w:r>
      <w:r w:rsidRPr="00D9010C" w:rsidR="008146A9">
        <w:rPr>
          <w:rFonts w:ascii="Arial" w:hAnsi="Arial" w:cs="Arial"/>
          <w:b/>
        </w:rPr>
        <w:t>nnex 1</w:t>
      </w:r>
      <w:r w:rsidRPr="00D9010C" w:rsidR="002447D7">
        <w:rPr>
          <w:rFonts w:ascii="Arial" w:hAnsi="Arial" w:cs="Arial"/>
          <w:b/>
        </w:rPr>
        <w:t xml:space="preserve"> -</w:t>
      </w:r>
      <w:r w:rsidRPr="00D9010C" w:rsidR="008146A9">
        <w:rPr>
          <w:rFonts w:ascii="Arial" w:hAnsi="Arial" w:cs="Arial"/>
          <w:b/>
        </w:rPr>
        <w:t xml:space="preserve"> </w:t>
      </w:r>
      <w:r w:rsidRPr="00D9010C" w:rsidR="00446551">
        <w:rPr>
          <w:rFonts w:ascii="Arial" w:hAnsi="Arial" w:cs="Arial"/>
          <w:b/>
        </w:rPr>
        <w:t xml:space="preserve">Year on </w:t>
      </w:r>
      <w:r w:rsidRPr="00D9010C" w:rsidR="008146A9">
        <w:rPr>
          <w:rFonts w:ascii="Arial" w:hAnsi="Arial" w:cs="Arial"/>
          <w:b/>
        </w:rPr>
        <w:t>Y</w:t>
      </w:r>
      <w:r w:rsidRPr="00D9010C" w:rsidR="00446551">
        <w:rPr>
          <w:rFonts w:ascii="Arial" w:hAnsi="Arial" w:cs="Arial"/>
          <w:b/>
        </w:rPr>
        <w:t xml:space="preserve">ear </w:t>
      </w:r>
      <w:r w:rsidRPr="00D9010C" w:rsidR="008146A9">
        <w:rPr>
          <w:rFonts w:ascii="Arial" w:hAnsi="Arial" w:cs="Arial"/>
          <w:b/>
        </w:rPr>
        <w:t>C</w:t>
      </w:r>
      <w:r w:rsidRPr="00D9010C" w:rsidR="00446551">
        <w:rPr>
          <w:rFonts w:ascii="Arial" w:hAnsi="Arial" w:cs="Arial"/>
          <w:b/>
        </w:rPr>
        <w:t>omparisons</w:t>
      </w:r>
    </w:p>
    <w:p w:rsidR="008146A9" w:rsidRDefault="008146A9" w14:paraId="2DCC4350" w14:textId="77777777">
      <w:pPr>
        <w:rPr>
          <w:rFonts w:ascii="Arial" w:hAnsi="Arial" w:cs="Arial"/>
          <w:b/>
          <w:sz w:val="20"/>
          <w:szCs w:val="20"/>
        </w:rPr>
      </w:pPr>
    </w:p>
    <w:p w:rsidRPr="00D9010C" w:rsidR="008146A9" w:rsidRDefault="008146A9" w14:paraId="103F1E78" w14:textId="77777777">
      <w:pPr>
        <w:rPr>
          <w:rFonts w:ascii="Arial" w:hAnsi="Arial" w:cs="Arial"/>
          <w:b/>
        </w:rPr>
      </w:pPr>
      <w:r w:rsidRPr="00D9010C">
        <w:rPr>
          <w:rFonts w:ascii="Arial" w:hAnsi="Arial" w:cs="Arial"/>
          <w:b/>
        </w:rPr>
        <w:t>Headline Figures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850"/>
        <w:gridCol w:w="850"/>
        <w:gridCol w:w="850"/>
        <w:gridCol w:w="850"/>
        <w:gridCol w:w="850"/>
        <w:gridCol w:w="850"/>
        <w:gridCol w:w="850"/>
      </w:tblGrid>
      <w:tr w:rsidRPr="00D9010C" w:rsidR="00590C6E" w:rsidTr="006A63E5" w14:paraId="799A93FC" w14:textId="1519ED90">
        <w:trPr>
          <w:trHeight w:val="274"/>
        </w:trPr>
        <w:tc>
          <w:tcPr>
            <w:tcW w:w="2263" w:type="dxa"/>
            <w:shd w:val="clear" w:color="auto" w:fill="BFBFBF" w:themeFill="background1" w:themeFillShade="BF"/>
          </w:tcPr>
          <w:p w:rsidRPr="00D9010C" w:rsidR="00590C6E" w:rsidP="00A25EDB" w:rsidRDefault="00590C6E" w14:paraId="4202ECC5" w14:textId="5AFFF5C4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/>
                <w:lang w:val="en" w:eastAsia="en-GB"/>
              </w:rPr>
              <w:t>% Difference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Pr="00D9010C" w:rsidR="00590C6E" w:rsidP="00446551" w:rsidRDefault="00590C6E" w14:paraId="05420F59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/>
                <w:lang w:val="en" w:eastAsia="en-GB"/>
              </w:rPr>
              <w:t>2017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Pr="00D9010C" w:rsidR="00590C6E" w:rsidP="00A25EDB" w:rsidRDefault="00590C6E" w14:paraId="52536B46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/>
                <w:lang w:val="en" w:eastAsia="en-GB"/>
              </w:rPr>
              <w:t>2018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Pr="00D9010C" w:rsidR="00590C6E" w:rsidP="00A25EDB" w:rsidRDefault="00590C6E" w14:paraId="65474122" w14:textId="77777777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/>
                <w:lang w:val="en" w:eastAsia="en-GB"/>
              </w:rPr>
              <w:t>2019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Pr="00D9010C" w:rsidR="00590C6E" w:rsidP="00A25EDB" w:rsidRDefault="00590C6E" w14:paraId="2A1A0BF6" w14:textId="2C937853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/>
                <w:lang w:val="en" w:eastAsia="en-GB"/>
              </w:rPr>
              <w:t>2020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Pr="00D9010C" w:rsidR="00590C6E" w:rsidP="00A25EDB" w:rsidRDefault="00590C6E" w14:paraId="0B63D557" w14:textId="61817B35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/>
                <w:lang w:val="en" w:eastAsia="en-GB"/>
              </w:rPr>
              <w:t>2021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Pr="00D9010C" w:rsidR="00590C6E" w:rsidP="00A25EDB" w:rsidRDefault="00590C6E" w14:paraId="29C2C061" w14:textId="50C32DDD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/>
                <w:lang w:val="en" w:eastAsia="en-GB"/>
              </w:rPr>
              <w:t>2022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Pr="00D9010C" w:rsidR="00590C6E" w:rsidP="00A25EDB" w:rsidRDefault="00590C6E" w14:paraId="0D945F88" w14:textId="1C15A8E9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>
              <w:rPr>
                <w:rFonts w:ascii="Arial" w:hAnsi="Arial" w:eastAsia="Times New Roman" w:cs="Arial"/>
                <w:b/>
                <w:lang w:val="en" w:eastAsia="en-GB"/>
              </w:rPr>
              <w:t>2023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90C6E" w:rsidP="00A25EDB" w:rsidRDefault="00590C6E" w14:paraId="1EBB6210" w14:textId="0438BFEC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>
              <w:rPr>
                <w:rFonts w:ascii="Arial" w:hAnsi="Arial" w:eastAsia="Times New Roman" w:cs="Arial"/>
                <w:b/>
                <w:lang w:val="en" w:eastAsia="en-GB"/>
              </w:rPr>
              <w:t>2024</w:t>
            </w:r>
          </w:p>
        </w:tc>
      </w:tr>
      <w:tr w:rsidRPr="00D9010C" w:rsidR="00590C6E" w:rsidTr="006A63E5" w14:paraId="5711DBC9" w14:textId="15ADD4DC">
        <w:tc>
          <w:tcPr>
            <w:tcW w:w="2263" w:type="dxa"/>
            <w:shd w:val="clear" w:color="auto" w:fill="F2F2F2" w:themeFill="background1" w:themeFillShade="F2"/>
          </w:tcPr>
          <w:p w:rsidRPr="00D9010C" w:rsidR="00590C6E" w:rsidP="00A25EDB" w:rsidRDefault="00590C6E" w14:paraId="3A2C1432" w14:textId="41810A34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lang w:val="en" w:eastAsia="en-GB"/>
              </w:rPr>
              <w:t>Mean Hourly Rate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Pr="00D9010C" w:rsidR="00590C6E" w:rsidP="00A25EDB" w:rsidRDefault="00590C6E" w14:paraId="480FA080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lang w:val="en" w:eastAsia="en-GB"/>
              </w:rPr>
              <w:t>3.8%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D9010C" w:rsidR="00590C6E" w:rsidP="00A25EDB" w:rsidRDefault="00590C6E" w14:paraId="1A8D1C47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lang w:val="en" w:eastAsia="en-GB"/>
              </w:rPr>
              <w:t>0.8%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D9010C" w:rsidR="00590C6E" w:rsidP="00A25EDB" w:rsidRDefault="00590C6E" w14:paraId="3282981A" w14:textId="77777777">
            <w:pPr>
              <w:spacing w:after="150" w:line="270" w:lineRule="atLeast"/>
              <w:rPr>
                <w:rFonts w:ascii="Arial" w:hAnsi="Arial" w:eastAsia="Times New Roman" w:cs="Arial"/>
                <w:bCs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Cs/>
                <w:lang w:val="en" w:eastAsia="en-GB"/>
              </w:rPr>
              <w:t>5.8%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D9010C" w:rsidR="00590C6E" w:rsidP="00A25EDB" w:rsidRDefault="00590C6E" w14:paraId="55AA1CEF" w14:textId="339C24F4">
            <w:pPr>
              <w:spacing w:after="150" w:line="270" w:lineRule="atLeast"/>
              <w:rPr>
                <w:rFonts w:ascii="Arial" w:hAnsi="Arial" w:eastAsia="Times New Roman" w:cs="Arial"/>
                <w:bCs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Cs/>
                <w:lang w:val="en" w:eastAsia="en-GB"/>
              </w:rPr>
              <w:t>6.3%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D9010C" w:rsidR="00590C6E" w:rsidP="00A25EDB" w:rsidRDefault="00590C6E" w14:paraId="57684E4C" w14:textId="6C8AC275">
            <w:pPr>
              <w:spacing w:after="150" w:line="270" w:lineRule="atLeast"/>
              <w:rPr>
                <w:rFonts w:ascii="Arial" w:hAnsi="Arial" w:eastAsia="Times New Roman" w:cs="Arial"/>
                <w:bCs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Cs/>
                <w:lang w:val="en" w:eastAsia="en-GB"/>
              </w:rPr>
              <w:t>5.8%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8423BF" w:rsidR="00590C6E" w:rsidP="00A25EDB" w:rsidRDefault="00590C6E" w14:paraId="56BF438A" w14:textId="29C94C23">
            <w:pPr>
              <w:spacing w:after="150" w:line="270" w:lineRule="atLeast"/>
              <w:rPr>
                <w:rFonts w:ascii="Arial" w:hAnsi="Arial" w:eastAsia="Times New Roman" w:cs="Arial"/>
                <w:bCs/>
                <w:lang w:val="en" w:eastAsia="en-GB"/>
              </w:rPr>
            </w:pPr>
            <w:r w:rsidRPr="008423BF">
              <w:rPr>
                <w:rFonts w:ascii="Arial" w:hAnsi="Arial" w:eastAsia="Times New Roman" w:cs="Arial"/>
                <w:bCs/>
                <w:lang w:val="en" w:eastAsia="en-GB"/>
              </w:rPr>
              <w:t>3.7%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590C6E" w:rsidR="00590C6E" w:rsidP="00A25EDB" w:rsidRDefault="00590C6E" w14:paraId="72037F55" w14:textId="188D8337">
            <w:pPr>
              <w:spacing w:after="150" w:line="270" w:lineRule="atLeast"/>
              <w:rPr>
                <w:rFonts w:ascii="Arial" w:hAnsi="Arial" w:eastAsia="Times New Roman" w:cs="Arial"/>
                <w:bCs/>
                <w:lang w:val="en" w:eastAsia="en-GB"/>
              </w:rPr>
            </w:pPr>
            <w:r w:rsidRPr="00590C6E">
              <w:rPr>
                <w:rFonts w:ascii="Arial" w:hAnsi="Arial" w:eastAsia="Times New Roman" w:cs="Arial"/>
                <w:bCs/>
                <w:lang w:val="en" w:eastAsia="en-GB"/>
              </w:rPr>
              <w:t>4.9%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0C6E" w:rsidP="00A25EDB" w:rsidRDefault="00590C6E" w14:paraId="48CBB59E" w14:textId="5242F98A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>
              <w:rPr>
                <w:rFonts w:ascii="Arial" w:hAnsi="Arial" w:eastAsia="Times New Roman" w:cs="Arial"/>
                <w:b/>
                <w:lang w:val="en" w:eastAsia="en-GB"/>
              </w:rPr>
              <w:t>4.7%</w:t>
            </w:r>
          </w:p>
        </w:tc>
      </w:tr>
      <w:tr w:rsidRPr="00D9010C" w:rsidR="00590C6E" w:rsidTr="006A63E5" w14:paraId="7C9B94EB" w14:textId="4A0342FE">
        <w:tc>
          <w:tcPr>
            <w:tcW w:w="2263" w:type="dxa"/>
            <w:shd w:val="clear" w:color="auto" w:fill="F2F2F2" w:themeFill="background1" w:themeFillShade="F2"/>
          </w:tcPr>
          <w:p w:rsidRPr="00D9010C" w:rsidR="00590C6E" w:rsidP="00A25EDB" w:rsidRDefault="00590C6E" w14:paraId="63298CA7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lang w:val="en" w:eastAsia="en-GB"/>
              </w:rPr>
              <w:t>Median Hourly Rate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Pr="00D9010C" w:rsidR="00590C6E" w:rsidP="00A25EDB" w:rsidRDefault="00590C6E" w14:paraId="4C05CC51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lang w:val="en" w:eastAsia="en-GB"/>
              </w:rPr>
              <w:t>0.9%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D9010C" w:rsidR="00590C6E" w:rsidP="00A25EDB" w:rsidRDefault="00590C6E" w14:paraId="157C1D9D" w14:textId="77777777">
            <w:pPr>
              <w:spacing w:after="150" w:line="270" w:lineRule="atLeast"/>
              <w:rPr>
                <w:rFonts w:ascii="Arial" w:hAnsi="Arial" w:eastAsia="Times New Roman" w:cs="Arial"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lang w:val="en" w:eastAsia="en-GB"/>
              </w:rPr>
              <w:t>3.1%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D9010C" w:rsidR="00590C6E" w:rsidP="00A25EDB" w:rsidRDefault="00590C6E" w14:paraId="5588CFE0" w14:textId="77777777">
            <w:pPr>
              <w:spacing w:after="150" w:line="270" w:lineRule="atLeast"/>
              <w:rPr>
                <w:rFonts w:ascii="Arial" w:hAnsi="Arial" w:eastAsia="Times New Roman" w:cs="Arial"/>
                <w:bCs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Cs/>
                <w:lang w:val="en" w:eastAsia="en-GB"/>
              </w:rPr>
              <w:t>3.1%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D9010C" w:rsidR="00590C6E" w:rsidP="00A25EDB" w:rsidRDefault="00590C6E" w14:paraId="7154D48D" w14:textId="5AA8129F">
            <w:pPr>
              <w:spacing w:after="150" w:line="270" w:lineRule="atLeast"/>
              <w:rPr>
                <w:rFonts w:ascii="Arial" w:hAnsi="Arial" w:eastAsia="Times New Roman" w:cs="Arial"/>
                <w:bCs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Cs/>
                <w:lang w:val="en" w:eastAsia="en-GB"/>
              </w:rPr>
              <w:t>3.6%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D9010C" w:rsidR="00590C6E" w:rsidP="00A25EDB" w:rsidRDefault="00590C6E" w14:paraId="637D9188" w14:textId="02CAC382">
            <w:pPr>
              <w:spacing w:after="150" w:line="270" w:lineRule="atLeast"/>
              <w:rPr>
                <w:rFonts w:ascii="Arial" w:hAnsi="Arial" w:eastAsia="Times New Roman" w:cs="Arial"/>
                <w:bCs/>
                <w:lang w:val="en" w:eastAsia="en-GB"/>
              </w:rPr>
            </w:pPr>
            <w:r w:rsidRPr="00D9010C">
              <w:rPr>
                <w:rFonts w:ascii="Arial" w:hAnsi="Arial" w:eastAsia="Times New Roman" w:cs="Arial"/>
                <w:bCs/>
                <w:lang w:val="en" w:eastAsia="en-GB"/>
              </w:rPr>
              <w:t>2.0%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8423BF" w:rsidR="00590C6E" w:rsidP="00A25EDB" w:rsidRDefault="00590C6E" w14:paraId="3FFB31E3" w14:textId="0D67F3F2">
            <w:pPr>
              <w:spacing w:after="150" w:line="270" w:lineRule="atLeast"/>
              <w:rPr>
                <w:rFonts w:ascii="Arial" w:hAnsi="Arial" w:eastAsia="Times New Roman" w:cs="Arial"/>
                <w:bCs/>
                <w:lang w:val="en" w:eastAsia="en-GB"/>
              </w:rPr>
            </w:pPr>
            <w:r w:rsidRPr="008423BF">
              <w:rPr>
                <w:rFonts w:ascii="Arial" w:hAnsi="Arial" w:eastAsia="Times New Roman" w:cs="Arial"/>
                <w:bCs/>
                <w:lang w:val="en" w:eastAsia="en-GB"/>
              </w:rPr>
              <w:t>0.0%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Pr="00590C6E" w:rsidR="00590C6E" w:rsidP="00A25EDB" w:rsidRDefault="00590C6E" w14:paraId="205DF2ED" w14:textId="7F2A65BA">
            <w:pPr>
              <w:spacing w:after="150" w:line="270" w:lineRule="atLeast"/>
              <w:rPr>
                <w:rFonts w:ascii="Arial" w:hAnsi="Arial" w:eastAsia="Times New Roman" w:cs="Arial"/>
                <w:bCs/>
                <w:lang w:val="en" w:eastAsia="en-GB"/>
              </w:rPr>
            </w:pPr>
            <w:r w:rsidRPr="00590C6E">
              <w:rPr>
                <w:rFonts w:ascii="Arial" w:hAnsi="Arial" w:eastAsia="Times New Roman" w:cs="Arial"/>
                <w:bCs/>
                <w:lang w:val="en" w:eastAsia="en-GB"/>
              </w:rPr>
              <w:t>-1.4%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0C6E" w:rsidP="00A25EDB" w:rsidRDefault="00590C6E" w14:paraId="7A2DE6E2" w14:textId="2E0E5E9A">
            <w:pPr>
              <w:spacing w:after="150" w:line="270" w:lineRule="atLeast"/>
              <w:rPr>
                <w:rFonts w:ascii="Arial" w:hAnsi="Arial" w:eastAsia="Times New Roman" w:cs="Arial"/>
                <w:b/>
                <w:lang w:val="en" w:eastAsia="en-GB"/>
              </w:rPr>
            </w:pPr>
            <w:r>
              <w:rPr>
                <w:rFonts w:ascii="Arial" w:hAnsi="Arial" w:eastAsia="Times New Roman" w:cs="Arial"/>
                <w:b/>
                <w:lang w:val="en" w:eastAsia="en-GB"/>
              </w:rPr>
              <w:t>0.0%</w:t>
            </w:r>
          </w:p>
        </w:tc>
      </w:tr>
    </w:tbl>
    <w:p w:rsidRPr="00D9010C" w:rsidR="00EB6FDE" w:rsidRDefault="00EB6FDE" w14:paraId="5F6052B3" w14:textId="7AA83690">
      <w:pPr>
        <w:rPr>
          <w:rFonts w:ascii="Arial" w:hAnsi="Arial" w:cs="Arial"/>
          <w:b/>
        </w:rPr>
      </w:pPr>
    </w:p>
    <w:p w:rsidRPr="00D9010C" w:rsidR="0095593C" w:rsidRDefault="0095593C" w14:paraId="73EED7D5" w14:textId="77777777">
      <w:pPr>
        <w:rPr>
          <w:rFonts w:ascii="Arial" w:hAnsi="Arial" w:cs="Arial"/>
          <w:b/>
        </w:rPr>
      </w:pPr>
    </w:p>
    <w:p w:rsidRPr="00D9010C" w:rsidR="0095593C" w:rsidRDefault="0095593C" w14:paraId="65F4FDC6" w14:textId="77777777">
      <w:pPr>
        <w:rPr>
          <w:rFonts w:ascii="Arial" w:hAnsi="Arial" w:cs="Arial"/>
          <w:b/>
        </w:rPr>
      </w:pPr>
    </w:p>
    <w:p w:rsidRPr="00D9010C" w:rsidR="0095593C" w:rsidRDefault="0095593C" w14:paraId="125E10C8" w14:textId="77777777">
      <w:pPr>
        <w:rPr>
          <w:rFonts w:ascii="Arial" w:hAnsi="Arial" w:cs="Arial"/>
          <w:b/>
        </w:rPr>
      </w:pPr>
    </w:p>
    <w:p w:rsidR="0095593C" w:rsidRDefault="00771EAE" w14:paraId="1B5DA631" w14:textId="32E3A58E">
      <w:pPr>
        <w:rPr>
          <w:rFonts w:ascii="Arial" w:hAnsi="Arial" w:cs="Arial"/>
          <w:bCs/>
        </w:rPr>
      </w:pPr>
      <w:r w:rsidRPr="00771EAE">
        <w:rPr>
          <w:rFonts w:ascii="Arial" w:hAnsi="Arial" w:cs="Arial"/>
          <w:bCs/>
        </w:rPr>
        <w:t xml:space="preserve">St Basils’ mean hourly rate </w:t>
      </w:r>
      <w:r>
        <w:rPr>
          <w:rFonts w:ascii="Arial" w:hAnsi="Arial" w:cs="Arial"/>
          <w:bCs/>
        </w:rPr>
        <w:t xml:space="preserve">% difference </w:t>
      </w:r>
      <w:r w:rsidR="00590C6E">
        <w:rPr>
          <w:rFonts w:ascii="Arial" w:hAnsi="Arial" w:cs="Arial"/>
          <w:bCs/>
        </w:rPr>
        <w:t>decreased slightly</w:t>
      </w:r>
      <w:r>
        <w:rPr>
          <w:rFonts w:ascii="Arial" w:hAnsi="Arial" w:cs="Arial"/>
          <w:bCs/>
        </w:rPr>
        <w:t xml:space="preserve"> in 202</w:t>
      </w:r>
      <w:r w:rsidR="00590C6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compared to 202</w:t>
      </w:r>
      <w:r w:rsidR="00590C6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. This can be attributed to more </w:t>
      </w:r>
      <w:r w:rsidR="00590C6E">
        <w:rPr>
          <w:rFonts w:ascii="Arial" w:hAnsi="Arial" w:cs="Arial"/>
          <w:bCs/>
        </w:rPr>
        <w:t>women</w:t>
      </w:r>
      <w:r>
        <w:rPr>
          <w:rFonts w:ascii="Arial" w:hAnsi="Arial" w:cs="Arial"/>
          <w:bCs/>
        </w:rPr>
        <w:t xml:space="preserve"> taking on management roles (falling into the Upper </w:t>
      </w:r>
      <w:r w:rsidR="00590C6E">
        <w:rPr>
          <w:rFonts w:ascii="Arial" w:hAnsi="Arial" w:cs="Arial"/>
          <w:bCs/>
        </w:rPr>
        <w:t xml:space="preserve">Middle </w:t>
      </w:r>
      <w:r>
        <w:rPr>
          <w:rFonts w:ascii="Arial" w:hAnsi="Arial" w:cs="Arial"/>
          <w:bCs/>
        </w:rPr>
        <w:t xml:space="preserve">Quartile) and </w:t>
      </w:r>
      <w:r w:rsidR="00590C6E">
        <w:rPr>
          <w:rFonts w:ascii="Arial" w:hAnsi="Arial" w:cs="Arial"/>
          <w:bCs/>
        </w:rPr>
        <w:t xml:space="preserve">a small increase in </w:t>
      </w:r>
      <w:r>
        <w:rPr>
          <w:rFonts w:ascii="Arial" w:hAnsi="Arial" w:cs="Arial"/>
          <w:bCs/>
        </w:rPr>
        <w:t xml:space="preserve">men occupying roles </w:t>
      </w:r>
      <w:r w:rsidR="00590C6E">
        <w:rPr>
          <w:rFonts w:ascii="Arial" w:hAnsi="Arial" w:cs="Arial"/>
          <w:bCs/>
        </w:rPr>
        <w:t>at the Real living Wage level (falling into</w:t>
      </w:r>
      <w:r>
        <w:rPr>
          <w:rFonts w:ascii="Arial" w:hAnsi="Arial" w:cs="Arial"/>
          <w:bCs/>
        </w:rPr>
        <w:t xml:space="preserve"> the Lower Quartile</w:t>
      </w:r>
      <w:r w:rsidR="00590C6E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compared to the previous year.</w:t>
      </w:r>
      <w:r>
        <w:rPr>
          <w:rFonts w:ascii="Arial" w:hAnsi="Arial" w:cs="Arial"/>
          <w:bCs/>
        </w:rPr>
        <w:tab/>
      </w:r>
    </w:p>
    <w:p w:rsidRPr="00771EAE" w:rsidR="00D73E22" w:rsidRDefault="003B313F" w14:paraId="4B954C26" w14:textId="32CD7F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median hourly rate difference </w:t>
      </w:r>
      <w:r w:rsidR="00590C6E">
        <w:rPr>
          <w:rFonts w:ascii="Arial" w:hAnsi="Arial" w:cs="Arial"/>
          <w:bCs/>
        </w:rPr>
        <w:t>has gone back to 0%</w:t>
      </w:r>
      <w:r>
        <w:rPr>
          <w:rFonts w:ascii="Arial" w:hAnsi="Arial" w:cs="Arial"/>
          <w:bCs/>
        </w:rPr>
        <w:t xml:space="preserve"> </w:t>
      </w:r>
      <w:r w:rsidR="00590C6E">
        <w:rPr>
          <w:rFonts w:ascii="Arial" w:hAnsi="Arial" w:cs="Arial"/>
          <w:bCs/>
        </w:rPr>
        <w:t>in 2024</w:t>
      </w:r>
      <w:r w:rsidR="00D73E22">
        <w:rPr>
          <w:rFonts w:ascii="Arial" w:hAnsi="Arial" w:cs="Arial"/>
          <w:bCs/>
        </w:rPr>
        <w:t xml:space="preserve">, which is due to there being more women in the </w:t>
      </w:r>
      <w:r w:rsidR="009A42C6">
        <w:rPr>
          <w:rFonts w:ascii="Arial" w:hAnsi="Arial" w:cs="Arial"/>
          <w:bCs/>
        </w:rPr>
        <w:t>two middle quartiles</w:t>
      </w:r>
      <w:r w:rsidR="00D73E22">
        <w:rPr>
          <w:rFonts w:ascii="Arial" w:hAnsi="Arial" w:cs="Arial"/>
          <w:bCs/>
        </w:rPr>
        <w:t xml:space="preserve"> </w:t>
      </w:r>
      <w:r w:rsidR="009A42C6">
        <w:rPr>
          <w:rFonts w:ascii="Arial" w:hAnsi="Arial" w:cs="Arial"/>
          <w:bCs/>
        </w:rPr>
        <w:t xml:space="preserve">than the other two quartiles, combined with the more uneven spread of men </w:t>
      </w:r>
      <w:r w:rsidR="00D73E22">
        <w:rPr>
          <w:rFonts w:ascii="Arial" w:hAnsi="Arial" w:cs="Arial"/>
          <w:bCs/>
        </w:rPr>
        <w:t>across each quartile.</w:t>
      </w:r>
    </w:p>
    <w:p w:rsidRPr="00D9010C" w:rsidR="00446551" w:rsidRDefault="008146A9" w14:paraId="3B363159" w14:textId="404804E4">
      <w:pPr>
        <w:rPr>
          <w:rFonts w:ascii="Arial" w:hAnsi="Arial" w:cs="Arial"/>
          <w:b/>
        </w:rPr>
      </w:pPr>
      <w:r w:rsidRPr="00D9010C">
        <w:rPr>
          <w:rFonts w:ascii="Arial" w:hAnsi="Arial" w:cs="Arial"/>
          <w:b/>
        </w:rPr>
        <w:t>Quartile Analysis</w:t>
      </w:r>
    </w:p>
    <w:tbl>
      <w:tblPr>
        <w:tblW w:w="10607" w:type="dxa"/>
        <w:tblLook w:val="04A0" w:firstRow="1" w:lastRow="0" w:firstColumn="1" w:lastColumn="0" w:noHBand="0" w:noVBand="1"/>
      </w:tblPr>
      <w:tblGrid>
        <w:gridCol w:w="917"/>
        <w:gridCol w:w="799"/>
        <w:gridCol w:w="799"/>
        <w:gridCol w:w="891"/>
        <w:gridCol w:w="799"/>
        <w:gridCol w:w="800"/>
        <w:gridCol w:w="801"/>
        <w:gridCol w:w="800"/>
        <w:gridCol w:w="800"/>
        <w:gridCol w:w="800"/>
        <w:gridCol w:w="800"/>
        <w:gridCol w:w="800"/>
        <w:gridCol w:w="801"/>
      </w:tblGrid>
      <w:tr w:rsidRPr="00A97288" w:rsidR="00A97288" w:rsidTr="00A97288" w14:paraId="25F96883" w14:textId="77777777">
        <w:trPr>
          <w:trHeight w:val="301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97288" w:rsidR="00A97288" w:rsidP="00A97288" w:rsidRDefault="00A97288" w14:paraId="1D8583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8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8CBAD"/>
            <w:vAlign w:val="center"/>
            <w:hideMark/>
          </w:tcPr>
          <w:p w:rsidRPr="00A97288" w:rsidR="00A97288" w:rsidP="00A97288" w:rsidRDefault="00A97288" w14:paraId="261FAB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Men</w:t>
            </w:r>
          </w:p>
        </w:tc>
        <w:tc>
          <w:tcPr>
            <w:tcW w:w="480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E699"/>
            <w:vAlign w:val="center"/>
            <w:hideMark/>
          </w:tcPr>
          <w:p w:rsidRPr="00A97288" w:rsidR="00A97288" w:rsidP="00A97288" w:rsidRDefault="00A97288" w14:paraId="2814186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Women</w:t>
            </w:r>
          </w:p>
        </w:tc>
      </w:tr>
      <w:tr w:rsidRPr="00A97288" w:rsidR="00A97288" w:rsidTr="00A97288" w14:paraId="74C30BBF" w14:textId="77777777">
        <w:trPr>
          <w:trHeight w:val="301"/>
        </w:trPr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6C2B206F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en-GB"/>
              </w:rPr>
            </w:pPr>
            <w:r w:rsidRPr="00A97288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4D8841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7F3389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2020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772A0D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2021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236526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7A782C8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2023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6F5200E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2024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37F881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539447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7A984D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2021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3FD3B2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376FAA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2023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51EFBA1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2024</w:t>
            </w:r>
          </w:p>
        </w:tc>
      </w:tr>
      <w:tr w:rsidRPr="00A97288" w:rsidR="00A97288" w:rsidTr="00A97288" w14:paraId="028059C0" w14:textId="77777777">
        <w:trPr>
          <w:trHeight w:val="746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79A6A73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Upper Quartile (A)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096969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37%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2C0CDDA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35%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04A107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36%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30AA52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29%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1133B7F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34%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0825E3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35%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30A63A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63%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74123E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65%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7AE6BF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64%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015126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71%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21344A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66%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6E104DA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65%</w:t>
            </w:r>
          </w:p>
        </w:tc>
      </w:tr>
      <w:tr w:rsidRPr="00A97288" w:rsidR="00A97288" w:rsidTr="00A97288" w14:paraId="3C49A158" w14:textId="77777777">
        <w:trPr>
          <w:trHeight w:val="990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10FFD4A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Upper Middle Quartile (B)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418E8D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30%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14DBF40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29%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552CFC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25%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39DE58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21EB20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26%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545A1F7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21%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207651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70%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762E08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71%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5F19874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716769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273A36D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74%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7F56B4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79%</w:t>
            </w:r>
          </w:p>
        </w:tc>
      </w:tr>
      <w:tr w:rsidRPr="00A97288" w:rsidR="00A97288" w:rsidTr="00A97288" w14:paraId="515DC2A0" w14:textId="77777777">
        <w:trPr>
          <w:trHeight w:val="990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6FBF85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Lower Middle Quartile (C)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218106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24%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6DE041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23%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4F4B92F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25%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2151623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4A3103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19%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556FE3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14%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4069288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76%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1D449E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77%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6C7159B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538B329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1E1FDF5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81%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47C7A6F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86%</w:t>
            </w:r>
          </w:p>
        </w:tc>
      </w:tr>
      <w:tr w:rsidRPr="00A97288" w:rsidR="00A97288" w:rsidTr="00A97288" w14:paraId="660F8138" w14:textId="77777777">
        <w:trPr>
          <w:trHeight w:val="746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15004C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Lower Quartile (D)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479670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17%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7156BE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18%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27CCA6C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27%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712766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32%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0F9900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31%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7BBEFD6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32%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690C139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83%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0F5934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82%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6C474F2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73%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06B477B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68%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A97288" w:rsidR="00A97288" w:rsidP="00A97288" w:rsidRDefault="00A97288" w14:paraId="54626F2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69%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5F4E9DF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68%</w:t>
            </w:r>
          </w:p>
        </w:tc>
      </w:tr>
      <w:tr w:rsidRPr="00A97288" w:rsidR="00A97288" w:rsidTr="00A97288" w14:paraId="0554A6E5" w14:textId="77777777">
        <w:trPr>
          <w:trHeight w:val="301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7BDD35C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70651D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27%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72366F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26%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2D4E93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28%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3A7B5A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28%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295B054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27%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23E5E82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25%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46071F7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73%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1A4E09A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74%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3ED4BF6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72%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02BECE2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lang w:eastAsia="en-GB"/>
              </w:rPr>
              <w:t>72%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6CF830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color w:val="000000"/>
                <w:lang w:eastAsia="en-GB"/>
              </w:rPr>
              <w:t>73%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A97288" w:rsidR="00A97288" w:rsidP="00A97288" w:rsidRDefault="00A97288" w14:paraId="087B82C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 w:rsidRPr="00A97288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75%</w:t>
            </w:r>
          </w:p>
        </w:tc>
      </w:tr>
    </w:tbl>
    <w:p w:rsidRPr="00D9010C" w:rsidR="0095593C" w:rsidRDefault="0095593C" w14:paraId="7E18ACB4" w14:textId="77777777">
      <w:pPr>
        <w:rPr>
          <w:rFonts w:ascii="Arial" w:hAnsi="Arial" w:cs="Arial"/>
        </w:rPr>
      </w:pPr>
    </w:p>
    <w:p w:rsidRPr="00D9010C" w:rsidR="00471032" w:rsidRDefault="006E6F45" w14:paraId="3AED7983" w14:textId="5E76E55C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9010C" w:rsidR="00471032">
        <w:rPr>
          <w:rFonts w:ascii="Arial" w:hAnsi="Arial" w:cs="Arial"/>
        </w:rPr>
        <w:t>he relatively small number of staff employed by St Basils</w:t>
      </w:r>
      <w:r w:rsidRPr="00D9010C" w:rsidR="00580B14">
        <w:rPr>
          <w:rFonts w:ascii="Arial" w:hAnsi="Arial" w:cs="Arial"/>
        </w:rPr>
        <w:t xml:space="preserve"> (3</w:t>
      </w:r>
      <w:r w:rsidR="00A97288">
        <w:rPr>
          <w:rFonts w:ascii="Arial" w:hAnsi="Arial" w:cs="Arial"/>
        </w:rPr>
        <w:t>24</w:t>
      </w:r>
      <w:r w:rsidRPr="00D9010C" w:rsidR="00580B14">
        <w:rPr>
          <w:rFonts w:ascii="Arial" w:hAnsi="Arial" w:cs="Arial"/>
        </w:rPr>
        <w:t xml:space="preserve"> in April 202</w:t>
      </w:r>
      <w:r w:rsidR="00A97288">
        <w:rPr>
          <w:rFonts w:ascii="Arial" w:hAnsi="Arial" w:cs="Arial"/>
        </w:rPr>
        <w:t>4</w:t>
      </w:r>
      <w:r w:rsidRPr="00D9010C" w:rsidR="00580B14">
        <w:rPr>
          <w:rFonts w:ascii="Arial" w:hAnsi="Arial" w:cs="Arial"/>
        </w:rPr>
        <w:t xml:space="preserve"> data)</w:t>
      </w:r>
      <w:r w:rsidRPr="00D9010C" w:rsidR="00471032">
        <w:rPr>
          <w:rFonts w:ascii="Arial" w:hAnsi="Arial" w:cs="Arial"/>
        </w:rPr>
        <w:t xml:space="preserve"> means that small movements in staff</w:t>
      </w:r>
      <w:r w:rsidRPr="00D9010C" w:rsidR="007676C9">
        <w:rPr>
          <w:rFonts w:ascii="Arial" w:hAnsi="Arial" w:cs="Arial"/>
        </w:rPr>
        <w:t xml:space="preserve"> numbers</w:t>
      </w:r>
      <w:r w:rsidRPr="00D9010C" w:rsidR="00471032">
        <w:rPr>
          <w:rFonts w:ascii="Arial" w:hAnsi="Arial" w:cs="Arial"/>
        </w:rPr>
        <w:t xml:space="preserve"> can result in noticeable movements in both the mean and median pay gap.</w:t>
      </w:r>
    </w:p>
    <w:p w:rsidRPr="00D9010C" w:rsidR="00425421" w:rsidRDefault="00425421" w14:paraId="662B5253" w14:textId="35ADCA6E">
      <w:pPr>
        <w:rPr>
          <w:rFonts w:ascii="Arial" w:hAnsi="Arial" w:cs="Arial"/>
        </w:rPr>
      </w:pPr>
      <w:r w:rsidRPr="00D9010C">
        <w:rPr>
          <w:rFonts w:ascii="Arial" w:hAnsi="Arial" w:cs="Arial"/>
        </w:rPr>
        <w:t>The main reason for the existence of a pay gap at St Basils continues to be the low number of men employed in front line support work.</w:t>
      </w:r>
    </w:p>
    <w:p w:rsidRPr="0033638F" w:rsidR="0095593C" w:rsidRDefault="0095593C" w14:paraId="19E17AC1" w14:textId="108EAFFF">
      <w:pPr>
        <w:rPr>
          <w:rFonts w:ascii="Arial" w:hAnsi="Arial" w:cs="Arial"/>
        </w:rPr>
      </w:pPr>
      <w:r w:rsidRPr="00D9010C">
        <w:rPr>
          <w:rFonts w:ascii="Arial" w:hAnsi="Arial" w:cs="Arial"/>
        </w:rPr>
        <w:t>Benchmarks in this area are problematic</w:t>
      </w:r>
      <w:r w:rsidRPr="00D9010C" w:rsidR="00866DEF">
        <w:rPr>
          <w:rFonts w:ascii="Arial" w:hAnsi="Arial" w:cs="Arial"/>
        </w:rPr>
        <w:t xml:space="preserve"> due to the difference in full time and part time data, sector type and organisation size</w:t>
      </w:r>
      <w:r w:rsidRPr="002762E2">
        <w:rPr>
          <w:rFonts w:ascii="Arial" w:hAnsi="Arial" w:cs="Arial"/>
        </w:rPr>
        <w:t xml:space="preserve">.  It is however noted that </w:t>
      </w:r>
      <w:r w:rsidR="002311A1">
        <w:rPr>
          <w:rFonts w:ascii="Arial" w:hAnsi="Arial" w:cs="Arial"/>
        </w:rPr>
        <w:t>for</w:t>
      </w:r>
      <w:r w:rsidRPr="002762E2" w:rsidR="005C30E6">
        <w:rPr>
          <w:rFonts w:ascii="Arial" w:hAnsi="Arial" w:cs="Arial"/>
        </w:rPr>
        <w:t xml:space="preserve"> 202</w:t>
      </w:r>
      <w:r w:rsidR="002311A1">
        <w:rPr>
          <w:rFonts w:ascii="Arial" w:hAnsi="Arial" w:cs="Arial"/>
        </w:rPr>
        <w:t>4</w:t>
      </w:r>
      <w:r w:rsidRPr="002762E2" w:rsidR="005C30E6">
        <w:rPr>
          <w:rFonts w:ascii="Arial" w:hAnsi="Arial" w:cs="Arial"/>
        </w:rPr>
        <w:t xml:space="preserve">, </w:t>
      </w:r>
      <w:r w:rsidRPr="002762E2" w:rsidR="00F11CD3">
        <w:rPr>
          <w:rFonts w:ascii="Arial" w:hAnsi="Arial" w:cs="Arial"/>
        </w:rPr>
        <w:t>housing providers</w:t>
      </w:r>
      <w:r w:rsidRPr="002762E2" w:rsidR="005C30E6">
        <w:rPr>
          <w:rFonts w:ascii="Arial" w:hAnsi="Arial" w:cs="Arial"/>
        </w:rPr>
        <w:t xml:space="preserve"> </w:t>
      </w:r>
      <w:r w:rsidRPr="002762E2" w:rsidR="00AB0421">
        <w:rPr>
          <w:rFonts w:ascii="Arial" w:hAnsi="Arial" w:cs="Arial"/>
        </w:rPr>
        <w:t xml:space="preserve">and similar charities </w:t>
      </w:r>
      <w:r w:rsidRPr="002762E2" w:rsidR="005C30E6">
        <w:rPr>
          <w:rFonts w:ascii="Arial" w:hAnsi="Arial" w:cs="Arial"/>
        </w:rPr>
        <w:t xml:space="preserve">of a similar size </w:t>
      </w:r>
      <w:r w:rsidRPr="002762E2" w:rsidR="00F11CD3">
        <w:rPr>
          <w:rFonts w:ascii="Arial" w:hAnsi="Arial" w:cs="Arial"/>
        </w:rPr>
        <w:t>to</w:t>
      </w:r>
      <w:r w:rsidRPr="002762E2" w:rsidR="005C30E6">
        <w:rPr>
          <w:rFonts w:ascii="Arial" w:hAnsi="Arial" w:cs="Arial"/>
        </w:rPr>
        <w:t xml:space="preserve"> St Basils </w:t>
      </w:r>
      <w:r w:rsidRPr="002762E2" w:rsidR="006434AD">
        <w:rPr>
          <w:rFonts w:ascii="Arial" w:hAnsi="Arial" w:cs="Arial"/>
        </w:rPr>
        <w:t xml:space="preserve">(however a mixture of non-profit and for-profit providers) </w:t>
      </w:r>
      <w:r w:rsidRPr="002762E2" w:rsidR="005C30E6">
        <w:rPr>
          <w:rFonts w:ascii="Arial" w:hAnsi="Arial" w:cs="Arial"/>
        </w:rPr>
        <w:t xml:space="preserve">showed on average a mean hourly rate gap of </w:t>
      </w:r>
      <w:r w:rsidRPr="002762E2" w:rsidR="00304FF6">
        <w:rPr>
          <w:rFonts w:ascii="Arial" w:hAnsi="Arial" w:cs="Arial"/>
        </w:rPr>
        <w:t>4.8</w:t>
      </w:r>
      <w:r w:rsidRPr="002762E2" w:rsidR="005C30E6">
        <w:rPr>
          <w:rFonts w:ascii="Arial" w:hAnsi="Arial" w:cs="Arial"/>
        </w:rPr>
        <w:t>% and a</w:t>
      </w:r>
      <w:r w:rsidRPr="002762E2">
        <w:rPr>
          <w:rFonts w:ascii="Arial" w:hAnsi="Arial" w:cs="Arial"/>
        </w:rPr>
        <w:t xml:space="preserve"> median hourly rate gap </w:t>
      </w:r>
      <w:r w:rsidRPr="002762E2" w:rsidR="005C30E6">
        <w:rPr>
          <w:rFonts w:ascii="Arial" w:hAnsi="Arial" w:cs="Arial"/>
        </w:rPr>
        <w:t xml:space="preserve">of </w:t>
      </w:r>
      <w:r w:rsidRPr="002762E2" w:rsidR="002762E2">
        <w:rPr>
          <w:rFonts w:ascii="Arial" w:hAnsi="Arial" w:cs="Arial"/>
        </w:rPr>
        <w:t>3</w:t>
      </w:r>
      <w:r w:rsidRPr="002762E2" w:rsidR="00304FF6">
        <w:rPr>
          <w:rFonts w:ascii="Arial" w:hAnsi="Arial" w:cs="Arial"/>
        </w:rPr>
        <w:t>.2</w:t>
      </w:r>
      <w:r w:rsidRPr="002762E2" w:rsidR="005C30E6">
        <w:rPr>
          <w:rFonts w:ascii="Arial" w:hAnsi="Arial" w:cs="Arial"/>
        </w:rPr>
        <w:t>%</w:t>
      </w:r>
      <w:r w:rsidRPr="002762E2">
        <w:rPr>
          <w:rFonts w:ascii="Arial" w:hAnsi="Arial" w:cs="Arial"/>
        </w:rPr>
        <w:t xml:space="preserve"> [</w:t>
      </w:r>
      <w:r w:rsidRPr="002762E2" w:rsidR="00304FF6">
        <w:rPr>
          <w:rFonts w:ascii="Arial" w:hAnsi="Arial" w:cs="Arial"/>
        </w:rPr>
        <w:t>1</w:t>
      </w:r>
      <w:r w:rsidRPr="002762E2" w:rsidR="002762E2">
        <w:rPr>
          <w:rFonts w:ascii="Arial" w:hAnsi="Arial" w:cs="Arial"/>
        </w:rPr>
        <w:t>6</w:t>
      </w:r>
      <w:r w:rsidRPr="002762E2" w:rsidR="00AD10AC">
        <w:rPr>
          <w:rFonts w:ascii="Arial" w:hAnsi="Arial" w:cs="Arial"/>
        </w:rPr>
        <w:t xml:space="preserve"> organisations, </w:t>
      </w:r>
      <w:r w:rsidRPr="002762E2" w:rsidR="005C30E6">
        <w:rPr>
          <w:rFonts w:ascii="Arial" w:hAnsi="Arial" w:cs="Arial"/>
        </w:rPr>
        <w:t>GOV.uk data</w:t>
      </w:r>
      <w:r w:rsidRPr="002762E2">
        <w:rPr>
          <w:rFonts w:ascii="Arial" w:hAnsi="Arial" w:cs="Arial"/>
        </w:rPr>
        <w:t>].</w:t>
      </w:r>
    </w:p>
    <w:sectPr w:rsidRPr="0033638F" w:rsidR="0095593C" w:rsidSect="00E9525E">
      <w:footerReference w:type="default" r:id="rId10"/>
      <w:pgSz w:w="11906" w:h="16838" w:orient="portrait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78E" w:rsidP="00ED22F4" w:rsidRDefault="0072378E" w14:paraId="2F2DF890" w14:textId="77777777">
      <w:pPr>
        <w:spacing w:after="0" w:line="240" w:lineRule="auto"/>
      </w:pPr>
      <w:r>
        <w:separator/>
      </w:r>
    </w:p>
  </w:endnote>
  <w:endnote w:type="continuationSeparator" w:id="0">
    <w:p w:rsidR="0072378E" w:rsidP="00ED22F4" w:rsidRDefault="0072378E" w14:paraId="143E0D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136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22F4" w:rsidRDefault="00ED22F4" w14:paraId="7AFE3236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B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22F4" w:rsidRDefault="00ED22F4" w14:paraId="04D93E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78E" w:rsidP="00ED22F4" w:rsidRDefault="0072378E" w14:paraId="0B09917A" w14:textId="77777777">
      <w:pPr>
        <w:spacing w:after="0" w:line="240" w:lineRule="auto"/>
      </w:pPr>
      <w:r>
        <w:separator/>
      </w:r>
    </w:p>
  </w:footnote>
  <w:footnote w:type="continuationSeparator" w:id="0">
    <w:p w:rsidR="0072378E" w:rsidP="00ED22F4" w:rsidRDefault="0072378E" w14:paraId="76869F9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04"/>
    <w:multiLevelType w:val="hybridMultilevel"/>
    <w:tmpl w:val="A1D611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745963"/>
    <w:multiLevelType w:val="hybridMultilevel"/>
    <w:tmpl w:val="F0EC24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DD7B51"/>
    <w:multiLevelType w:val="multilevel"/>
    <w:tmpl w:val="3B0C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92C6896"/>
    <w:multiLevelType w:val="hybridMultilevel"/>
    <w:tmpl w:val="37785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3653">
    <w:abstractNumId w:val="2"/>
  </w:num>
  <w:num w:numId="2" w16cid:durableId="1818449146">
    <w:abstractNumId w:val="1"/>
  </w:num>
  <w:num w:numId="3" w16cid:durableId="666598272">
    <w:abstractNumId w:val="3"/>
  </w:num>
  <w:num w:numId="4" w16cid:durableId="42488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40"/>
    <w:rsid w:val="00027378"/>
    <w:rsid w:val="0006657C"/>
    <w:rsid w:val="000909E4"/>
    <w:rsid w:val="000A02F7"/>
    <w:rsid w:val="000A6B58"/>
    <w:rsid w:val="000B1D79"/>
    <w:rsid w:val="000E1172"/>
    <w:rsid w:val="000F32E9"/>
    <w:rsid w:val="001244C8"/>
    <w:rsid w:val="00126DE5"/>
    <w:rsid w:val="0013584B"/>
    <w:rsid w:val="001474D2"/>
    <w:rsid w:val="001611EF"/>
    <w:rsid w:val="001616C2"/>
    <w:rsid w:val="0018243F"/>
    <w:rsid w:val="00195D80"/>
    <w:rsid w:val="001C2E40"/>
    <w:rsid w:val="001C53CD"/>
    <w:rsid w:val="001C5965"/>
    <w:rsid w:val="001E148A"/>
    <w:rsid w:val="001F25F4"/>
    <w:rsid w:val="00215591"/>
    <w:rsid w:val="002279C4"/>
    <w:rsid w:val="002311A1"/>
    <w:rsid w:val="00234CB4"/>
    <w:rsid w:val="0024250E"/>
    <w:rsid w:val="00243AFF"/>
    <w:rsid w:val="002447D7"/>
    <w:rsid w:val="002762E2"/>
    <w:rsid w:val="002A5579"/>
    <w:rsid w:val="002E74CC"/>
    <w:rsid w:val="002F2E41"/>
    <w:rsid w:val="00304FF6"/>
    <w:rsid w:val="003339F8"/>
    <w:rsid w:val="003345D3"/>
    <w:rsid w:val="0033595D"/>
    <w:rsid w:val="0033638F"/>
    <w:rsid w:val="00371D96"/>
    <w:rsid w:val="00387AC0"/>
    <w:rsid w:val="0039098B"/>
    <w:rsid w:val="003A0BEB"/>
    <w:rsid w:val="003B10EA"/>
    <w:rsid w:val="003B313F"/>
    <w:rsid w:val="003D6F2B"/>
    <w:rsid w:val="00425421"/>
    <w:rsid w:val="0043275D"/>
    <w:rsid w:val="00442430"/>
    <w:rsid w:val="00446551"/>
    <w:rsid w:val="0045225F"/>
    <w:rsid w:val="00471032"/>
    <w:rsid w:val="00472A86"/>
    <w:rsid w:val="0049183A"/>
    <w:rsid w:val="004C2AA9"/>
    <w:rsid w:val="004F3C76"/>
    <w:rsid w:val="004F717B"/>
    <w:rsid w:val="005016A3"/>
    <w:rsid w:val="0050531C"/>
    <w:rsid w:val="00507210"/>
    <w:rsid w:val="0051612F"/>
    <w:rsid w:val="00526B2B"/>
    <w:rsid w:val="0053552E"/>
    <w:rsid w:val="00560D15"/>
    <w:rsid w:val="00580B14"/>
    <w:rsid w:val="0058593B"/>
    <w:rsid w:val="00590C6E"/>
    <w:rsid w:val="005947C0"/>
    <w:rsid w:val="005B5AC7"/>
    <w:rsid w:val="005C30E6"/>
    <w:rsid w:val="006032BE"/>
    <w:rsid w:val="00605FF9"/>
    <w:rsid w:val="00610391"/>
    <w:rsid w:val="0063216F"/>
    <w:rsid w:val="00642E18"/>
    <w:rsid w:val="006434AD"/>
    <w:rsid w:val="006819A9"/>
    <w:rsid w:val="00685498"/>
    <w:rsid w:val="006B284A"/>
    <w:rsid w:val="006B46A3"/>
    <w:rsid w:val="006D05D4"/>
    <w:rsid w:val="006E461C"/>
    <w:rsid w:val="006E6F45"/>
    <w:rsid w:val="006F303E"/>
    <w:rsid w:val="0072378E"/>
    <w:rsid w:val="00737FD8"/>
    <w:rsid w:val="007610C4"/>
    <w:rsid w:val="007676C9"/>
    <w:rsid w:val="00771EAE"/>
    <w:rsid w:val="0078267B"/>
    <w:rsid w:val="0079162B"/>
    <w:rsid w:val="007B62B9"/>
    <w:rsid w:val="007F6DB3"/>
    <w:rsid w:val="007F7286"/>
    <w:rsid w:val="00804788"/>
    <w:rsid w:val="00811C02"/>
    <w:rsid w:val="008146A9"/>
    <w:rsid w:val="00836C8F"/>
    <w:rsid w:val="008423BF"/>
    <w:rsid w:val="00845FB4"/>
    <w:rsid w:val="008534FA"/>
    <w:rsid w:val="00860A5B"/>
    <w:rsid w:val="00866DEF"/>
    <w:rsid w:val="008672EC"/>
    <w:rsid w:val="00890F83"/>
    <w:rsid w:val="008C40DD"/>
    <w:rsid w:val="008E79DE"/>
    <w:rsid w:val="00927ED7"/>
    <w:rsid w:val="00933EA2"/>
    <w:rsid w:val="0095593C"/>
    <w:rsid w:val="00971E30"/>
    <w:rsid w:val="009777A4"/>
    <w:rsid w:val="00980DB1"/>
    <w:rsid w:val="009A42C6"/>
    <w:rsid w:val="009A47CF"/>
    <w:rsid w:val="009A71F6"/>
    <w:rsid w:val="009B23B0"/>
    <w:rsid w:val="00A0041E"/>
    <w:rsid w:val="00A13020"/>
    <w:rsid w:val="00A649C4"/>
    <w:rsid w:val="00A865A5"/>
    <w:rsid w:val="00A86957"/>
    <w:rsid w:val="00A97288"/>
    <w:rsid w:val="00AB0421"/>
    <w:rsid w:val="00AC5A29"/>
    <w:rsid w:val="00AD10AC"/>
    <w:rsid w:val="00AD2AFE"/>
    <w:rsid w:val="00AE64BA"/>
    <w:rsid w:val="00AF5A3B"/>
    <w:rsid w:val="00B00636"/>
    <w:rsid w:val="00B4270F"/>
    <w:rsid w:val="00B64307"/>
    <w:rsid w:val="00BB2601"/>
    <w:rsid w:val="00BF4463"/>
    <w:rsid w:val="00BF5713"/>
    <w:rsid w:val="00C0422D"/>
    <w:rsid w:val="00C05F2E"/>
    <w:rsid w:val="00C06C5F"/>
    <w:rsid w:val="00C47175"/>
    <w:rsid w:val="00C5184C"/>
    <w:rsid w:val="00CA3B4E"/>
    <w:rsid w:val="00CC2D4E"/>
    <w:rsid w:val="00CD1ED4"/>
    <w:rsid w:val="00CD3CA2"/>
    <w:rsid w:val="00D02C5D"/>
    <w:rsid w:val="00D130C7"/>
    <w:rsid w:val="00D14473"/>
    <w:rsid w:val="00D43B9A"/>
    <w:rsid w:val="00D62977"/>
    <w:rsid w:val="00D7262A"/>
    <w:rsid w:val="00D73E22"/>
    <w:rsid w:val="00D838B4"/>
    <w:rsid w:val="00D9010C"/>
    <w:rsid w:val="00D9679A"/>
    <w:rsid w:val="00DA42C5"/>
    <w:rsid w:val="00DB3817"/>
    <w:rsid w:val="00DB566C"/>
    <w:rsid w:val="00DB5833"/>
    <w:rsid w:val="00DC1E82"/>
    <w:rsid w:val="00DD55D6"/>
    <w:rsid w:val="00DE37BA"/>
    <w:rsid w:val="00E03BBA"/>
    <w:rsid w:val="00E05956"/>
    <w:rsid w:val="00E25DD4"/>
    <w:rsid w:val="00E27E96"/>
    <w:rsid w:val="00E57B13"/>
    <w:rsid w:val="00E73D86"/>
    <w:rsid w:val="00E91E75"/>
    <w:rsid w:val="00E9525E"/>
    <w:rsid w:val="00EA5F23"/>
    <w:rsid w:val="00EA7A3A"/>
    <w:rsid w:val="00EB6FDE"/>
    <w:rsid w:val="00ED22F4"/>
    <w:rsid w:val="00EE381B"/>
    <w:rsid w:val="00F11CD3"/>
    <w:rsid w:val="00F41DB6"/>
    <w:rsid w:val="00F71ADC"/>
    <w:rsid w:val="00F8479B"/>
    <w:rsid w:val="00F94FB8"/>
    <w:rsid w:val="00FA5CB6"/>
    <w:rsid w:val="00FB4245"/>
    <w:rsid w:val="00FE4079"/>
    <w:rsid w:val="14E3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B57A"/>
  <w15:chartTrackingRefBased/>
  <w15:docId w15:val="{43040390-F810-4CC2-8984-5EEC8F82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FB4"/>
    <w:pPr>
      <w:spacing w:after="135" w:line="270" w:lineRule="atLeast"/>
    </w:pPr>
    <w:rPr>
      <w:rFonts w:ascii="Helvetica" w:hAnsi="Helvetica" w:eastAsia="Times New Roman" w:cs="Helvetica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8047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130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2F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22F4"/>
  </w:style>
  <w:style w:type="paragraph" w:styleId="Footer">
    <w:name w:val="footer"/>
    <w:basedOn w:val="Normal"/>
    <w:link w:val="FooterChar"/>
    <w:uiPriority w:val="99"/>
    <w:unhideWhenUsed/>
    <w:rsid w:val="00ED22F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59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7963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81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4842-1A6E-4878-868E-19180CF4A2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Fisher</dc:creator>
  <keywords/>
  <dc:description/>
  <lastModifiedBy>Alex Coleman</lastModifiedBy>
  <revision>9</revision>
  <lastPrinted>2021-09-29T16:46:00.0000000Z</lastPrinted>
  <dcterms:created xsi:type="dcterms:W3CDTF">2025-04-22T18:25:00.0000000Z</dcterms:created>
  <dcterms:modified xsi:type="dcterms:W3CDTF">2026-02-26T09:49:07.1372811Z</dcterms:modified>
</coreProperties>
</file>