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21"/>
        <w:tblW w:w="10195" w:type="dxa"/>
        <w:tblLayout w:type="fixed"/>
        <w:tblLook w:val="04A0" w:firstRow="1" w:lastRow="0" w:firstColumn="1" w:lastColumn="0" w:noHBand="0" w:noVBand="1"/>
      </w:tblPr>
      <w:tblGrid>
        <w:gridCol w:w="4229"/>
        <w:gridCol w:w="5966"/>
      </w:tblGrid>
      <w:tr w:rsidR="001E3A74" w:rsidRPr="00970E73" w14:paraId="5CCF646F" w14:textId="77777777" w:rsidTr="00613CA2">
        <w:trPr>
          <w:trHeight w:val="303"/>
        </w:trPr>
        <w:tc>
          <w:tcPr>
            <w:tcW w:w="10195" w:type="dxa"/>
            <w:gridSpan w:val="2"/>
          </w:tcPr>
          <w:p w14:paraId="5CCF646E" w14:textId="77777777" w:rsidR="001E3A74" w:rsidRPr="00970E73" w:rsidRDefault="001E3A74" w:rsidP="00B91AA4">
            <w:pPr>
              <w:shd w:val="clear" w:color="auto" w:fill="FFFFFF" w:themeFill="background1"/>
              <w:rPr>
                <w:sz w:val="56"/>
                <w:szCs w:val="56"/>
              </w:rPr>
            </w:pPr>
            <w:r w:rsidRPr="00077FBD">
              <w:rPr>
                <w:noProof/>
              </w:rPr>
              <w:drawing>
                <wp:inline distT="0" distB="0" distL="0" distR="0" wp14:anchorId="5CCF65C6" wp14:editId="5CCF65C7">
                  <wp:extent cx="2057400" cy="1371600"/>
                  <wp:effectExtent l="0" t="0" r="0" b="0"/>
                  <wp:docPr id="4" name="Picture 4" descr="SB logo (Black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 logo (Black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58965" cy="1372643"/>
                          </a:xfrm>
                          <a:prstGeom prst="rect">
                            <a:avLst/>
                          </a:prstGeom>
                          <a:noFill/>
                          <a:ln>
                            <a:noFill/>
                          </a:ln>
                        </pic:spPr>
                      </pic:pic>
                    </a:graphicData>
                  </a:graphic>
                </wp:inline>
              </w:drawing>
            </w:r>
            <w:r w:rsidRPr="00970E73">
              <w:t xml:space="preserve">    </w:t>
            </w:r>
          </w:p>
        </w:tc>
      </w:tr>
      <w:tr w:rsidR="00691FC9" w:rsidRPr="002D1B10" w14:paraId="5CCF6472" w14:textId="77777777" w:rsidTr="002D1B10">
        <w:trPr>
          <w:trHeight w:val="303"/>
        </w:trPr>
        <w:tc>
          <w:tcPr>
            <w:tcW w:w="4229" w:type="dxa"/>
            <w:vAlign w:val="center"/>
          </w:tcPr>
          <w:p w14:paraId="5CCF6470" w14:textId="4FF3CB32" w:rsidR="00691FC9" w:rsidRPr="002D1B10" w:rsidRDefault="00691FC9" w:rsidP="00691FC9">
            <w:pPr>
              <w:shd w:val="clear" w:color="auto" w:fill="FFFFFF" w:themeFill="background1"/>
              <w:rPr>
                <w:rFonts w:ascii="Arial" w:hAnsi="Arial" w:cs="Arial"/>
                <w:sz w:val="22"/>
                <w:szCs w:val="22"/>
              </w:rPr>
            </w:pPr>
            <w:r w:rsidRPr="002D1B10">
              <w:rPr>
                <w:rFonts w:ascii="Arial" w:hAnsi="Arial" w:cs="Arial"/>
                <w:sz w:val="22"/>
                <w:szCs w:val="22"/>
              </w:rPr>
              <w:t>Policy Name:</w:t>
            </w:r>
          </w:p>
        </w:tc>
        <w:tc>
          <w:tcPr>
            <w:tcW w:w="5966" w:type="dxa"/>
            <w:vAlign w:val="center"/>
          </w:tcPr>
          <w:p w14:paraId="5CCF6471" w14:textId="1C51CE45" w:rsidR="00691FC9" w:rsidRPr="002D1B10" w:rsidRDefault="00691FC9" w:rsidP="00691FC9">
            <w:pPr>
              <w:shd w:val="clear" w:color="auto" w:fill="FFFFFF" w:themeFill="background1"/>
              <w:rPr>
                <w:rFonts w:ascii="Arial" w:hAnsi="Arial" w:cs="Arial"/>
                <w:b/>
                <w:bCs/>
                <w:sz w:val="22"/>
                <w:szCs w:val="22"/>
              </w:rPr>
            </w:pPr>
            <w:r w:rsidRPr="00F340FA">
              <w:rPr>
                <w:rFonts w:ascii="Arial" w:hAnsi="Arial" w:cs="Arial"/>
                <w:b/>
                <w:bCs/>
                <w:sz w:val="24"/>
                <w:szCs w:val="24"/>
              </w:rPr>
              <w:t>M</w:t>
            </w:r>
            <w:r>
              <w:rPr>
                <w:rFonts w:ascii="Arial" w:hAnsi="Arial" w:cs="Arial"/>
                <w:b/>
                <w:bCs/>
                <w:sz w:val="24"/>
                <w:szCs w:val="24"/>
              </w:rPr>
              <w:t>utual Exchange</w:t>
            </w:r>
            <w:r w:rsidRPr="00F340FA">
              <w:rPr>
                <w:rFonts w:ascii="Arial" w:hAnsi="Arial" w:cs="Arial"/>
                <w:b/>
                <w:bCs/>
                <w:sz w:val="24"/>
                <w:szCs w:val="24"/>
              </w:rPr>
              <w:t xml:space="preserve"> Policy</w:t>
            </w:r>
          </w:p>
        </w:tc>
      </w:tr>
      <w:tr w:rsidR="00691FC9" w:rsidRPr="002D1B10" w14:paraId="5CCF6475" w14:textId="77777777" w:rsidTr="002D1B10">
        <w:trPr>
          <w:trHeight w:val="303"/>
        </w:trPr>
        <w:tc>
          <w:tcPr>
            <w:tcW w:w="4229" w:type="dxa"/>
            <w:vAlign w:val="center"/>
          </w:tcPr>
          <w:p w14:paraId="5CCF6473" w14:textId="66504BB0" w:rsidR="00691FC9" w:rsidRPr="002D1B10" w:rsidRDefault="00691FC9" w:rsidP="00691FC9">
            <w:pPr>
              <w:shd w:val="clear" w:color="auto" w:fill="FFFFFF" w:themeFill="background1"/>
              <w:rPr>
                <w:rFonts w:ascii="Arial" w:hAnsi="Arial" w:cs="Arial"/>
                <w:sz w:val="22"/>
                <w:szCs w:val="22"/>
              </w:rPr>
            </w:pPr>
            <w:r w:rsidRPr="002D1B10">
              <w:rPr>
                <w:rFonts w:ascii="Arial" w:hAnsi="Arial" w:cs="Arial"/>
                <w:sz w:val="22"/>
                <w:szCs w:val="22"/>
              </w:rPr>
              <w:t>File No:</w:t>
            </w:r>
          </w:p>
        </w:tc>
        <w:tc>
          <w:tcPr>
            <w:tcW w:w="5966" w:type="dxa"/>
            <w:vAlign w:val="center"/>
          </w:tcPr>
          <w:p w14:paraId="5CCF6474" w14:textId="5CCEA560" w:rsidR="00691FC9" w:rsidRPr="002D1B10" w:rsidRDefault="00691FC9" w:rsidP="00691FC9">
            <w:pPr>
              <w:shd w:val="clear" w:color="auto" w:fill="FFFFFF" w:themeFill="background1"/>
              <w:rPr>
                <w:rFonts w:ascii="Arial" w:hAnsi="Arial" w:cs="Arial"/>
                <w:sz w:val="22"/>
                <w:szCs w:val="22"/>
              </w:rPr>
            </w:pPr>
            <w:r w:rsidRPr="00296B1D">
              <w:rPr>
                <w:rFonts w:ascii="Arial" w:hAnsi="Arial" w:cs="Arial"/>
                <w:szCs w:val="26"/>
              </w:rPr>
              <w:t>P</w:t>
            </w:r>
            <w:r>
              <w:rPr>
                <w:rFonts w:ascii="Arial" w:hAnsi="Arial" w:cs="Arial"/>
                <w:szCs w:val="26"/>
              </w:rPr>
              <w:t>80</w:t>
            </w:r>
          </w:p>
        </w:tc>
      </w:tr>
      <w:tr w:rsidR="00691FC9" w:rsidRPr="002D1B10" w14:paraId="5CCF6478" w14:textId="77777777" w:rsidTr="002D1B10">
        <w:trPr>
          <w:trHeight w:val="303"/>
        </w:trPr>
        <w:tc>
          <w:tcPr>
            <w:tcW w:w="4229" w:type="dxa"/>
            <w:vAlign w:val="center"/>
          </w:tcPr>
          <w:p w14:paraId="5CCF6476" w14:textId="2C80DB35" w:rsidR="00691FC9" w:rsidRPr="002D1B10" w:rsidRDefault="00691FC9" w:rsidP="00691FC9">
            <w:pPr>
              <w:shd w:val="clear" w:color="auto" w:fill="FFFFFF" w:themeFill="background1"/>
              <w:rPr>
                <w:rFonts w:ascii="Arial" w:hAnsi="Arial" w:cs="Arial"/>
                <w:sz w:val="22"/>
                <w:szCs w:val="22"/>
              </w:rPr>
            </w:pPr>
            <w:r w:rsidRPr="002D1B10">
              <w:rPr>
                <w:rFonts w:ascii="Arial" w:hAnsi="Arial" w:cs="Arial"/>
                <w:sz w:val="22"/>
                <w:szCs w:val="22"/>
              </w:rPr>
              <w:t>Version:</w:t>
            </w:r>
          </w:p>
        </w:tc>
        <w:tc>
          <w:tcPr>
            <w:tcW w:w="5966" w:type="dxa"/>
            <w:vAlign w:val="center"/>
          </w:tcPr>
          <w:p w14:paraId="5CCF6477" w14:textId="2BF81AE4" w:rsidR="00691FC9" w:rsidRPr="002D1B10" w:rsidRDefault="00366510" w:rsidP="00691FC9">
            <w:pPr>
              <w:shd w:val="clear" w:color="auto" w:fill="FFFFFF" w:themeFill="background1"/>
              <w:rPr>
                <w:rFonts w:ascii="Arial" w:hAnsi="Arial" w:cs="Arial"/>
                <w:sz w:val="22"/>
                <w:szCs w:val="22"/>
              </w:rPr>
            </w:pPr>
            <w:r>
              <w:rPr>
                <w:rFonts w:ascii="Arial" w:hAnsi="Arial" w:cs="Arial"/>
                <w:szCs w:val="26"/>
              </w:rPr>
              <w:t>1.0</w:t>
            </w:r>
            <w:r w:rsidR="00691FC9">
              <w:rPr>
                <w:rFonts w:ascii="Arial" w:hAnsi="Arial" w:cs="Arial"/>
                <w:szCs w:val="26"/>
              </w:rPr>
              <w:t xml:space="preserve"> (Final)</w:t>
            </w:r>
          </w:p>
        </w:tc>
      </w:tr>
    </w:tbl>
    <w:p w14:paraId="5CCF6479" w14:textId="77777777" w:rsidR="001E3A74" w:rsidRPr="002D1B10" w:rsidRDefault="001E3A74" w:rsidP="00B91AA4">
      <w:pPr>
        <w:shd w:val="clear" w:color="auto" w:fill="FFFFFF" w:themeFill="background1"/>
        <w:rPr>
          <w:rFonts w:ascii="Arial" w:hAnsi="Arial" w:cs="Arial"/>
          <w:sz w:val="22"/>
          <w:szCs w:val="22"/>
        </w:rPr>
      </w:pPr>
    </w:p>
    <w:tbl>
      <w:tblPr>
        <w:tblStyle w:val="TableGrid"/>
        <w:tblW w:w="10206" w:type="dxa"/>
        <w:tblInd w:w="-5" w:type="dxa"/>
        <w:tblLayout w:type="fixed"/>
        <w:tblLook w:val="04A0" w:firstRow="1" w:lastRow="0" w:firstColumn="1" w:lastColumn="0" w:noHBand="0" w:noVBand="1"/>
      </w:tblPr>
      <w:tblGrid>
        <w:gridCol w:w="1701"/>
        <w:gridCol w:w="2552"/>
        <w:gridCol w:w="2126"/>
        <w:gridCol w:w="1843"/>
        <w:gridCol w:w="1984"/>
      </w:tblGrid>
      <w:tr w:rsidR="00691FC9" w:rsidRPr="002D1B10" w14:paraId="5CCF647C" w14:textId="77777777" w:rsidTr="002D1B10">
        <w:trPr>
          <w:trHeight w:val="313"/>
        </w:trPr>
        <w:tc>
          <w:tcPr>
            <w:tcW w:w="4253" w:type="dxa"/>
            <w:gridSpan w:val="2"/>
            <w:vAlign w:val="center"/>
          </w:tcPr>
          <w:p w14:paraId="5CCF647A" w14:textId="7FF5B966" w:rsidR="00691FC9" w:rsidRPr="002D1B10" w:rsidRDefault="00691FC9" w:rsidP="00691FC9">
            <w:pPr>
              <w:shd w:val="clear" w:color="auto" w:fill="FFFFFF" w:themeFill="background1"/>
              <w:rPr>
                <w:rFonts w:ascii="Arial" w:hAnsi="Arial" w:cs="Arial"/>
                <w:sz w:val="22"/>
                <w:szCs w:val="22"/>
              </w:rPr>
            </w:pPr>
            <w:r w:rsidRPr="002D1B10">
              <w:rPr>
                <w:rFonts w:ascii="Arial" w:hAnsi="Arial" w:cs="Arial"/>
                <w:sz w:val="22"/>
                <w:szCs w:val="22"/>
              </w:rPr>
              <w:t>Policy Custodian:</w:t>
            </w:r>
          </w:p>
        </w:tc>
        <w:tc>
          <w:tcPr>
            <w:tcW w:w="5953" w:type="dxa"/>
            <w:gridSpan w:val="3"/>
            <w:vAlign w:val="center"/>
          </w:tcPr>
          <w:p w14:paraId="5CCF647B" w14:textId="1093D1B2" w:rsidR="00691FC9" w:rsidRPr="002D1B10" w:rsidRDefault="00691FC9" w:rsidP="00691FC9">
            <w:pPr>
              <w:shd w:val="clear" w:color="auto" w:fill="FFFFFF" w:themeFill="background1"/>
              <w:rPr>
                <w:rFonts w:ascii="Arial" w:hAnsi="Arial" w:cs="Arial"/>
                <w:b/>
                <w:sz w:val="22"/>
                <w:szCs w:val="22"/>
              </w:rPr>
            </w:pPr>
            <w:r w:rsidRPr="00F340FA">
              <w:rPr>
                <w:rFonts w:ascii="Arial" w:hAnsi="Arial" w:cs="Arial"/>
                <w:b/>
                <w:szCs w:val="26"/>
              </w:rPr>
              <w:t xml:space="preserve">Director of Housing </w:t>
            </w:r>
          </w:p>
        </w:tc>
      </w:tr>
      <w:tr w:rsidR="00691FC9" w:rsidRPr="002D1B10" w14:paraId="5CCF647F" w14:textId="77777777" w:rsidTr="002D1B10">
        <w:trPr>
          <w:trHeight w:val="313"/>
        </w:trPr>
        <w:tc>
          <w:tcPr>
            <w:tcW w:w="4253" w:type="dxa"/>
            <w:gridSpan w:val="2"/>
            <w:vAlign w:val="center"/>
          </w:tcPr>
          <w:p w14:paraId="5CCF647D" w14:textId="635B6280" w:rsidR="00691FC9" w:rsidRPr="002D1B10" w:rsidRDefault="00691FC9" w:rsidP="00691FC9">
            <w:pPr>
              <w:shd w:val="clear" w:color="auto" w:fill="FFFFFF" w:themeFill="background1"/>
              <w:rPr>
                <w:rFonts w:ascii="Arial" w:hAnsi="Arial" w:cs="Arial"/>
                <w:sz w:val="22"/>
                <w:szCs w:val="22"/>
              </w:rPr>
            </w:pPr>
            <w:r w:rsidRPr="002D1B10">
              <w:rPr>
                <w:rFonts w:ascii="Arial" w:hAnsi="Arial" w:cs="Arial"/>
                <w:sz w:val="22"/>
                <w:szCs w:val="22"/>
              </w:rPr>
              <w:t>Policy Champion: (if applicable)</w:t>
            </w:r>
          </w:p>
        </w:tc>
        <w:tc>
          <w:tcPr>
            <w:tcW w:w="5953" w:type="dxa"/>
            <w:gridSpan w:val="3"/>
            <w:vAlign w:val="center"/>
          </w:tcPr>
          <w:p w14:paraId="5CCF647E" w14:textId="52456FE7" w:rsidR="00691FC9" w:rsidRPr="002D1B10" w:rsidRDefault="00691FC9" w:rsidP="00691FC9">
            <w:pPr>
              <w:shd w:val="clear" w:color="auto" w:fill="FFFFFF" w:themeFill="background1"/>
              <w:rPr>
                <w:rFonts w:ascii="Arial" w:hAnsi="Arial" w:cs="Arial"/>
                <w:b/>
                <w:bCs/>
                <w:sz w:val="22"/>
                <w:szCs w:val="22"/>
              </w:rPr>
            </w:pPr>
            <w:r w:rsidRPr="00F340FA">
              <w:rPr>
                <w:rFonts w:ascii="Arial" w:hAnsi="Arial" w:cs="Arial"/>
                <w:b/>
                <w:bCs/>
                <w:sz w:val="24"/>
                <w:szCs w:val="24"/>
              </w:rPr>
              <w:t>Rent &amp; Service Charge Manager</w:t>
            </w:r>
          </w:p>
        </w:tc>
      </w:tr>
      <w:tr w:rsidR="001E3A74" w:rsidRPr="002D1B10" w14:paraId="5CCF648E" w14:textId="77777777" w:rsidTr="00613CA2">
        <w:trPr>
          <w:trHeight w:val="313"/>
        </w:trPr>
        <w:tc>
          <w:tcPr>
            <w:tcW w:w="10206" w:type="dxa"/>
            <w:gridSpan w:val="5"/>
          </w:tcPr>
          <w:p w14:paraId="5CCF6480" w14:textId="45379FC1" w:rsidR="001E3A74" w:rsidRDefault="001E3A74" w:rsidP="00B91AA4">
            <w:pPr>
              <w:pStyle w:val="Title"/>
              <w:shd w:val="clear" w:color="auto" w:fill="FFFFFF" w:themeFill="background1"/>
              <w:jc w:val="left"/>
              <w:rPr>
                <w:rFonts w:cs="Arial"/>
                <w:b w:val="0"/>
                <w:bCs/>
                <w:sz w:val="22"/>
                <w:szCs w:val="22"/>
                <w:lang w:val="en-GB"/>
              </w:rPr>
            </w:pPr>
            <w:r w:rsidRPr="002D1B10">
              <w:rPr>
                <w:rFonts w:cs="Arial"/>
                <w:b w:val="0"/>
                <w:bCs/>
                <w:sz w:val="22"/>
                <w:szCs w:val="22"/>
                <w:lang w:val="en-GB"/>
              </w:rPr>
              <w:t xml:space="preserve">This document also relates to the following </w:t>
            </w:r>
            <w:r w:rsidR="00E56B35" w:rsidRPr="002D1B10">
              <w:rPr>
                <w:rFonts w:cs="Arial"/>
                <w:b w:val="0"/>
                <w:bCs/>
                <w:sz w:val="22"/>
                <w:szCs w:val="22"/>
                <w:lang w:val="en-GB"/>
              </w:rPr>
              <w:t>St Basil’s</w:t>
            </w:r>
            <w:r w:rsidRPr="002D1B10">
              <w:rPr>
                <w:rFonts w:cs="Arial"/>
                <w:b w:val="0"/>
                <w:bCs/>
                <w:sz w:val="22"/>
                <w:szCs w:val="22"/>
                <w:lang w:val="en-GB"/>
              </w:rPr>
              <w:t xml:space="preserve"> policies, </w:t>
            </w:r>
            <w:proofErr w:type="gramStart"/>
            <w:r w:rsidRPr="002D1B10">
              <w:rPr>
                <w:rFonts w:cs="Arial"/>
                <w:b w:val="0"/>
                <w:bCs/>
                <w:sz w:val="22"/>
                <w:szCs w:val="22"/>
                <w:lang w:val="en-GB"/>
              </w:rPr>
              <w:t>procedures</w:t>
            </w:r>
            <w:proofErr w:type="gramEnd"/>
            <w:r w:rsidRPr="002D1B10">
              <w:rPr>
                <w:rFonts w:cs="Arial"/>
                <w:b w:val="0"/>
                <w:bCs/>
                <w:sz w:val="22"/>
                <w:szCs w:val="22"/>
                <w:lang w:val="en-GB"/>
              </w:rPr>
              <w:t xml:space="preserve"> and guidelines:</w:t>
            </w:r>
          </w:p>
          <w:p w14:paraId="767E8E51" w14:textId="1A2A8AC0" w:rsidR="00691FC9" w:rsidRDefault="00691FC9" w:rsidP="00691FC9">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Referral and Allocations Policy</w:t>
            </w:r>
          </w:p>
          <w:p w14:paraId="0A72F42D" w14:textId="4C4DFF34" w:rsidR="00B76096" w:rsidRDefault="00B76096" w:rsidP="00691FC9">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Rent &amp; Service Charge Arrears Policy</w:t>
            </w:r>
          </w:p>
          <w:p w14:paraId="7026B0B6" w14:textId="77777777" w:rsidR="00691FC9" w:rsidRDefault="00691FC9" w:rsidP="00691FC9">
            <w:pPr>
              <w:pStyle w:val="ListParagraph"/>
              <w:numPr>
                <w:ilvl w:val="0"/>
                <w:numId w:val="1"/>
              </w:numPr>
              <w:shd w:val="clear" w:color="auto" w:fill="FFFFFF" w:themeFill="background1"/>
              <w:overflowPunct/>
              <w:autoSpaceDE/>
              <w:autoSpaceDN/>
              <w:adjustRightInd/>
              <w:spacing w:line="276" w:lineRule="auto"/>
              <w:rPr>
                <w:rFonts w:ascii="Arial" w:hAnsi="Arial" w:cs="Arial"/>
                <w:sz w:val="22"/>
                <w:szCs w:val="22"/>
              </w:rPr>
            </w:pPr>
            <w:r>
              <w:rPr>
                <w:rFonts w:ascii="Arial" w:hAnsi="Arial" w:cs="Arial"/>
                <w:sz w:val="22"/>
                <w:szCs w:val="22"/>
              </w:rPr>
              <w:t>Lettable Standard</w:t>
            </w:r>
          </w:p>
          <w:p w14:paraId="4E177F61" w14:textId="77777777" w:rsidR="00691FC9" w:rsidRPr="002D1B10" w:rsidRDefault="00691FC9" w:rsidP="00B91AA4">
            <w:pPr>
              <w:pStyle w:val="Title"/>
              <w:shd w:val="clear" w:color="auto" w:fill="FFFFFF" w:themeFill="background1"/>
              <w:jc w:val="left"/>
              <w:rPr>
                <w:rFonts w:cs="Arial"/>
                <w:b w:val="0"/>
                <w:bCs/>
                <w:sz w:val="22"/>
                <w:szCs w:val="22"/>
                <w:lang w:val="en-GB"/>
              </w:rPr>
            </w:pPr>
          </w:p>
          <w:p w14:paraId="4EE217F2" w14:textId="2D9037BF" w:rsidR="00FA74AC" w:rsidRPr="002D1B10" w:rsidRDefault="00FA74AC" w:rsidP="00A45269">
            <w:pPr>
              <w:pStyle w:val="ListParagraph"/>
              <w:shd w:val="clear" w:color="auto" w:fill="FFFFFF" w:themeFill="background1"/>
              <w:overflowPunct/>
              <w:autoSpaceDE/>
              <w:autoSpaceDN/>
              <w:adjustRightInd/>
              <w:spacing w:line="276" w:lineRule="auto"/>
              <w:rPr>
                <w:rFonts w:ascii="Arial" w:hAnsi="Arial" w:cs="Arial"/>
                <w:sz w:val="22"/>
                <w:szCs w:val="22"/>
              </w:rPr>
            </w:pPr>
          </w:p>
          <w:p w14:paraId="5CCF648D" w14:textId="56F1FA2D" w:rsidR="000232FA" w:rsidRPr="002D1B10" w:rsidRDefault="000232FA" w:rsidP="000232FA">
            <w:pPr>
              <w:pStyle w:val="ListParagraph"/>
              <w:shd w:val="clear" w:color="auto" w:fill="FFFFFF" w:themeFill="background1"/>
              <w:overflowPunct/>
              <w:autoSpaceDE/>
              <w:autoSpaceDN/>
              <w:adjustRightInd/>
              <w:spacing w:line="276" w:lineRule="auto"/>
              <w:rPr>
                <w:rFonts w:ascii="Arial" w:hAnsi="Arial" w:cs="Arial"/>
                <w:sz w:val="22"/>
                <w:szCs w:val="22"/>
              </w:rPr>
            </w:pPr>
          </w:p>
        </w:tc>
      </w:tr>
      <w:tr w:rsidR="001E3A74" w:rsidRPr="002D1B10" w14:paraId="5CCF6491" w14:textId="77777777" w:rsidTr="00613CA2">
        <w:trPr>
          <w:trHeight w:val="313"/>
        </w:trPr>
        <w:tc>
          <w:tcPr>
            <w:tcW w:w="10206" w:type="dxa"/>
            <w:gridSpan w:val="5"/>
          </w:tcPr>
          <w:p w14:paraId="5CCF6490" w14:textId="32193ED0" w:rsidR="001E3A74" w:rsidRPr="002D1B10" w:rsidRDefault="001E3A74" w:rsidP="002D1B10">
            <w:pPr>
              <w:shd w:val="clear" w:color="auto" w:fill="FFFFFF" w:themeFill="background1"/>
              <w:spacing w:before="100" w:beforeAutospacing="1" w:after="100" w:afterAutospacing="1"/>
              <w:rPr>
                <w:rFonts w:ascii="Arial" w:hAnsi="Arial" w:cs="Arial"/>
                <w:sz w:val="22"/>
                <w:szCs w:val="22"/>
              </w:rPr>
            </w:pPr>
            <w:r w:rsidRPr="002D1B10">
              <w:rPr>
                <w:rFonts w:ascii="Arial" w:hAnsi="Arial" w:cs="Arial"/>
                <w:bCs/>
                <w:sz w:val="22"/>
                <w:szCs w:val="22"/>
              </w:rPr>
              <w:t>Consultation Framework</w:t>
            </w:r>
            <w:r w:rsidR="002D1B10">
              <w:rPr>
                <w:rFonts w:ascii="Arial" w:hAnsi="Arial" w:cs="Arial"/>
                <w:bCs/>
                <w:sz w:val="22"/>
                <w:szCs w:val="22"/>
              </w:rPr>
              <w:t xml:space="preserve">: </w:t>
            </w:r>
            <w:r w:rsidRPr="002D1B10">
              <w:rPr>
                <w:rFonts w:ascii="Arial" w:hAnsi="Arial" w:cs="Arial"/>
                <w:sz w:val="22"/>
                <w:szCs w:val="22"/>
              </w:rPr>
              <w:t xml:space="preserve">Consultation has taken place with the following parties   </w:t>
            </w:r>
          </w:p>
        </w:tc>
      </w:tr>
      <w:tr w:rsidR="004F4D7F" w:rsidRPr="002D1B10" w14:paraId="5CCF6494" w14:textId="77777777" w:rsidTr="002D1B10">
        <w:trPr>
          <w:trHeight w:val="313"/>
        </w:trPr>
        <w:tc>
          <w:tcPr>
            <w:tcW w:w="4253" w:type="dxa"/>
            <w:gridSpan w:val="2"/>
            <w:vAlign w:val="center"/>
          </w:tcPr>
          <w:p w14:paraId="5CCF6492" w14:textId="024CFC89" w:rsidR="004F4D7F" w:rsidRPr="002D1B10" w:rsidRDefault="004F4D7F" w:rsidP="004F4D7F">
            <w:pPr>
              <w:shd w:val="clear" w:color="auto" w:fill="FFFFFF" w:themeFill="background1"/>
              <w:rPr>
                <w:rFonts w:ascii="Arial" w:hAnsi="Arial" w:cs="Arial"/>
                <w:color w:val="FF0000"/>
                <w:sz w:val="22"/>
                <w:szCs w:val="22"/>
              </w:rPr>
            </w:pPr>
            <w:r w:rsidRPr="002D1B10">
              <w:rPr>
                <w:rFonts w:ascii="Arial" w:eastAsiaTheme="minorEastAsia" w:hAnsi="Arial" w:cs="Arial"/>
                <w:sz w:val="22"/>
                <w:szCs w:val="22"/>
              </w:rPr>
              <w:t>Custodian</w:t>
            </w:r>
          </w:p>
        </w:tc>
        <w:tc>
          <w:tcPr>
            <w:tcW w:w="5953" w:type="dxa"/>
            <w:gridSpan w:val="3"/>
          </w:tcPr>
          <w:p w14:paraId="5CCF6493" w14:textId="5E80C3CC" w:rsidR="004F4D7F" w:rsidRPr="002D1B10" w:rsidRDefault="004F4D7F"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02.01.2024 – 15.02.2024</w:t>
            </w:r>
          </w:p>
        </w:tc>
      </w:tr>
      <w:tr w:rsidR="004F4D7F" w:rsidRPr="002D1B10" w14:paraId="5CCF6497" w14:textId="77777777" w:rsidTr="002D1B10">
        <w:trPr>
          <w:trHeight w:val="313"/>
        </w:trPr>
        <w:tc>
          <w:tcPr>
            <w:tcW w:w="4253" w:type="dxa"/>
            <w:gridSpan w:val="2"/>
            <w:vAlign w:val="center"/>
          </w:tcPr>
          <w:p w14:paraId="5CCF6495" w14:textId="2E64905F" w:rsidR="004F4D7F" w:rsidRPr="002D1B10" w:rsidRDefault="004F4D7F" w:rsidP="004F4D7F">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Champion</w:t>
            </w:r>
          </w:p>
        </w:tc>
        <w:tc>
          <w:tcPr>
            <w:tcW w:w="5953" w:type="dxa"/>
            <w:gridSpan w:val="3"/>
          </w:tcPr>
          <w:p w14:paraId="5CCF6496" w14:textId="630366CC" w:rsidR="004F4D7F" w:rsidRPr="002D1B10" w:rsidRDefault="004F4D7F"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02.01.2024 – 15.02.2024</w:t>
            </w:r>
          </w:p>
        </w:tc>
      </w:tr>
      <w:tr w:rsidR="004F4D7F" w:rsidRPr="002D1B10" w14:paraId="5CCF649A" w14:textId="77777777" w:rsidTr="002D1B10">
        <w:trPr>
          <w:trHeight w:val="313"/>
        </w:trPr>
        <w:tc>
          <w:tcPr>
            <w:tcW w:w="4253" w:type="dxa"/>
            <w:gridSpan w:val="2"/>
            <w:vAlign w:val="center"/>
          </w:tcPr>
          <w:p w14:paraId="5CCF6498" w14:textId="4ADCD6E2" w:rsidR="004F4D7F" w:rsidRPr="002D1B10" w:rsidRDefault="004F4D7F" w:rsidP="004F4D7F">
            <w:pPr>
              <w:shd w:val="clear" w:color="auto" w:fill="FFFFFF" w:themeFill="background1"/>
              <w:rPr>
                <w:rFonts w:ascii="Arial" w:eastAsiaTheme="minorEastAsia" w:hAnsi="Arial" w:cs="Arial"/>
                <w:sz w:val="22"/>
                <w:szCs w:val="22"/>
              </w:rPr>
            </w:pPr>
            <w:r w:rsidRPr="002D1B10">
              <w:rPr>
                <w:rFonts w:ascii="Arial" w:hAnsi="Arial" w:cs="Arial"/>
                <w:sz w:val="22"/>
                <w:szCs w:val="22"/>
              </w:rPr>
              <w:t>Senior Leadership Team</w:t>
            </w:r>
          </w:p>
        </w:tc>
        <w:tc>
          <w:tcPr>
            <w:tcW w:w="5953" w:type="dxa"/>
            <w:gridSpan w:val="3"/>
          </w:tcPr>
          <w:p w14:paraId="5CCF6499" w14:textId="39482BB7" w:rsidR="004F4D7F" w:rsidRPr="002D1B10" w:rsidRDefault="004F4D7F"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15.02.2024</w:t>
            </w:r>
            <w:r w:rsidR="00366510">
              <w:rPr>
                <w:rFonts w:ascii="Arial" w:eastAsiaTheme="minorEastAsia" w:hAnsi="Arial" w:cs="Arial"/>
                <w:sz w:val="22"/>
                <w:szCs w:val="22"/>
              </w:rPr>
              <w:t xml:space="preserve"> – Approved </w:t>
            </w:r>
          </w:p>
        </w:tc>
      </w:tr>
      <w:tr w:rsidR="004F4D7F" w:rsidRPr="002D1B10" w14:paraId="5CCF649D" w14:textId="77777777" w:rsidTr="002D1B10">
        <w:trPr>
          <w:trHeight w:val="313"/>
        </w:trPr>
        <w:tc>
          <w:tcPr>
            <w:tcW w:w="4253" w:type="dxa"/>
            <w:gridSpan w:val="2"/>
            <w:vAlign w:val="center"/>
          </w:tcPr>
          <w:p w14:paraId="5CCF649B" w14:textId="243D5FC4" w:rsidR="004F4D7F" w:rsidRPr="002D1B10" w:rsidRDefault="004F4D7F" w:rsidP="004F4D7F">
            <w:pPr>
              <w:shd w:val="clear" w:color="auto" w:fill="FFFFFF" w:themeFill="background1"/>
              <w:rPr>
                <w:rFonts w:ascii="Arial" w:hAnsi="Arial" w:cs="Arial"/>
                <w:sz w:val="22"/>
                <w:szCs w:val="22"/>
              </w:rPr>
            </w:pPr>
            <w:r w:rsidRPr="002D1B10">
              <w:rPr>
                <w:rFonts w:ascii="Arial" w:hAnsi="Arial" w:cs="Arial"/>
                <w:sz w:val="22"/>
                <w:szCs w:val="22"/>
              </w:rPr>
              <w:t>Staff</w:t>
            </w:r>
          </w:p>
        </w:tc>
        <w:tc>
          <w:tcPr>
            <w:tcW w:w="5953" w:type="dxa"/>
            <w:gridSpan w:val="3"/>
          </w:tcPr>
          <w:p w14:paraId="5CCF649C" w14:textId="618FA7F6" w:rsidR="004F4D7F" w:rsidRPr="002D1B10" w:rsidRDefault="004F4D7F"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N/A</w:t>
            </w:r>
          </w:p>
        </w:tc>
      </w:tr>
      <w:tr w:rsidR="004F4D7F" w:rsidRPr="002D1B10" w14:paraId="5CCF64A0" w14:textId="77777777" w:rsidTr="002D1B10">
        <w:trPr>
          <w:trHeight w:val="313"/>
        </w:trPr>
        <w:tc>
          <w:tcPr>
            <w:tcW w:w="4253" w:type="dxa"/>
            <w:gridSpan w:val="2"/>
            <w:vAlign w:val="center"/>
          </w:tcPr>
          <w:p w14:paraId="5CCF649E" w14:textId="64D0B28F" w:rsidR="004F4D7F" w:rsidRPr="002D1B10" w:rsidRDefault="004F4D7F" w:rsidP="004F4D7F">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Committee</w:t>
            </w:r>
            <w:r w:rsidR="00366510">
              <w:rPr>
                <w:rFonts w:ascii="Arial" w:eastAsiaTheme="minorEastAsia" w:hAnsi="Arial" w:cs="Arial"/>
                <w:sz w:val="22"/>
                <w:szCs w:val="22"/>
              </w:rPr>
              <w:t xml:space="preserve"> (SDDC)</w:t>
            </w:r>
          </w:p>
        </w:tc>
        <w:tc>
          <w:tcPr>
            <w:tcW w:w="5953" w:type="dxa"/>
            <w:gridSpan w:val="3"/>
          </w:tcPr>
          <w:p w14:paraId="5CCF649F" w14:textId="313D0EC8" w:rsidR="004F4D7F" w:rsidRPr="002D1B10" w:rsidRDefault="004F4D7F"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28.02.2024</w:t>
            </w:r>
            <w:r w:rsidR="00366510">
              <w:rPr>
                <w:rFonts w:ascii="Arial" w:eastAsiaTheme="minorEastAsia" w:hAnsi="Arial" w:cs="Arial"/>
                <w:sz w:val="22"/>
                <w:szCs w:val="22"/>
              </w:rPr>
              <w:t xml:space="preserve"> – Approved (</w:t>
            </w:r>
            <w:r>
              <w:rPr>
                <w:rFonts w:ascii="Arial" w:eastAsiaTheme="minorEastAsia" w:hAnsi="Arial" w:cs="Arial"/>
                <w:sz w:val="22"/>
                <w:szCs w:val="22"/>
              </w:rPr>
              <w:t>Via email</w:t>
            </w:r>
            <w:r w:rsidR="00366510">
              <w:rPr>
                <w:rFonts w:ascii="Arial" w:eastAsiaTheme="minorEastAsia" w:hAnsi="Arial" w:cs="Arial"/>
                <w:sz w:val="22"/>
                <w:szCs w:val="22"/>
              </w:rPr>
              <w:t>)</w:t>
            </w:r>
          </w:p>
        </w:tc>
      </w:tr>
      <w:tr w:rsidR="004F4D7F" w:rsidRPr="002D1B10" w14:paraId="5CCF64A3" w14:textId="77777777" w:rsidTr="002D1B10">
        <w:trPr>
          <w:trHeight w:val="313"/>
        </w:trPr>
        <w:tc>
          <w:tcPr>
            <w:tcW w:w="4253" w:type="dxa"/>
            <w:gridSpan w:val="2"/>
            <w:vAlign w:val="center"/>
          </w:tcPr>
          <w:p w14:paraId="5CCF64A1" w14:textId="0CF11444" w:rsidR="004F4D7F" w:rsidRPr="002D1B10" w:rsidRDefault="004F4D7F" w:rsidP="004F4D7F">
            <w:pPr>
              <w:shd w:val="clear" w:color="auto" w:fill="FFFFFF" w:themeFill="background1"/>
              <w:rPr>
                <w:rFonts w:ascii="Arial" w:eastAsiaTheme="minorEastAsia" w:hAnsi="Arial" w:cs="Arial"/>
                <w:sz w:val="22"/>
                <w:szCs w:val="22"/>
              </w:rPr>
            </w:pPr>
            <w:r w:rsidRPr="002D1B10">
              <w:rPr>
                <w:rFonts w:ascii="Arial" w:eastAsiaTheme="minorEastAsia" w:hAnsi="Arial" w:cs="Arial"/>
                <w:sz w:val="22"/>
                <w:szCs w:val="22"/>
              </w:rPr>
              <w:t>Board</w:t>
            </w:r>
          </w:p>
        </w:tc>
        <w:tc>
          <w:tcPr>
            <w:tcW w:w="5953" w:type="dxa"/>
            <w:gridSpan w:val="3"/>
          </w:tcPr>
          <w:p w14:paraId="5CCF64A2" w14:textId="6DD5F7C8" w:rsidR="004F4D7F" w:rsidRPr="002D1B10" w:rsidRDefault="00366510" w:rsidP="004F4D7F">
            <w:pPr>
              <w:shd w:val="clear" w:color="auto" w:fill="FFFFFF" w:themeFill="background1"/>
              <w:rPr>
                <w:rFonts w:ascii="Arial" w:eastAsiaTheme="minorEastAsia" w:hAnsi="Arial" w:cs="Arial"/>
                <w:sz w:val="22"/>
                <w:szCs w:val="22"/>
              </w:rPr>
            </w:pPr>
            <w:r>
              <w:rPr>
                <w:rFonts w:ascii="Arial" w:eastAsiaTheme="minorEastAsia" w:hAnsi="Arial" w:cs="Arial"/>
                <w:sz w:val="22"/>
                <w:szCs w:val="22"/>
              </w:rPr>
              <w:t xml:space="preserve">07.03.2024 – Approved </w:t>
            </w:r>
          </w:p>
        </w:tc>
      </w:tr>
      <w:tr w:rsidR="001E3A74" w:rsidRPr="002D1B10" w14:paraId="5CCF64A5" w14:textId="77777777" w:rsidTr="00613CA2">
        <w:trPr>
          <w:trHeight w:val="313"/>
        </w:trPr>
        <w:tc>
          <w:tcPr>
            <w:tcW w:w="10206" w:type="dxa"/>
            <w:gridSpan w:val="5"/>
            <w:tcBorders>
              <w:top w:val="single" w:sz="4" w:space="0" w:color="auto"/>
              <w:left w:val="nil"/>
              <w:bottom w:val="single" w:sz="4" w:space="0" w:color="auto"/>
              <w:right w:val="nil"/>
            </w:tcBorders>
          </w:tcPr>
          <w:p w14:paraId="5CCF64A4" w14:textId="77777777" w:rsidR="001E3A74" w:rsidRPr="002D1B10" w:rsidRDefault="001E3A74" w:rsidP="00B91AA4">
            <w:pPr>
              <w:shd w:val="clear" w:color="auto" w:fill="FFFFFF" w:themeFill="background1"/>
              <w:spacing w:before="100" w:beforeAutospacing="1" w:after="100" w:afterAutospacing="1"/>
              <w:rPr>
                <w:rFonts w:ascii="Arial" w:eastAsiaTheme="minorEastAsia" w:hAnsi="Arial" w:cs="Arial"/>
                <w:sz w:val="22"/>
                <w:szCs w:val="22"/>
              </w:rPr>
            </w:pPr>
          </w:p>
        </w:tc>
      </w:tr>
      <w:tr w:rsidR="001E3A74" w:rsidRPr="002D1B10" w14:paraId="5CCF64AA" w14:textId="77777777" w:rsidTr="002D1B10">
        <w:trPr>
          <w:trHeight w:val="313"/>
        </w:trPr>
        <w:tc>
          <w:tcPr>
            <w:tcW w:w="1701" w:type="dxa"/>
            <w:tcBorders>
              <w:top w:val="single" w:sz="4" w:space="0" w:color="auto"/>
            </w:tcBorders>
            <w:vAlign w:val="center"/>
          </w:tcPr>
          <w:p w14:paraId="5CCF64A6" w14:textId="77777777" w:rsidR="001E3A74" w:rsidRPr="002D1B10" w:rsidRDefault="001E3A74" w:rsidP="002D1B10">
            <w:pPr>
              <w:shd w:val="clear" w:color="auto" w:fill="FFFFFF" w:themeFill="background1"/>
              <w:rPr>
                <w:rFonts w:ascii="Arial" w:hAnsi="Arial" w:cs="Arial"/>
                <w:sz w:val="22"/>
                <w:szCs w:val="22"/>
              </w:rPr>
            </w:pPr>
            <w:r w:rsidRPr="002D1B10">
              <w:rPr>
                <w:rFonts w:ascii="Arial" w:hAnsi="Arial" w:cs="Arial"/>
                <w:sz w:val="22"/>
                <w:szCs w:val="22"/>
              </w:rPr>
              <w:t>Approved by:</w:t>
            </w:r>
          </w:p>
        </w:tc>
        <w:tc>
          <w:tcPr>
            <w:tcW w:w="4678" w:type="dxa"/>
            <w:gridSpan w:val="2"/>
            <w:tcBorders>
              <w:top w:val="single" w:sz="4" w:space="0" w:color="auto"/>
            </w:tcBorders>
            <w:vAlign w:val="center"/>
          </w:tcPr>
          <w:p w14:paraId="5CCF64A7" w14:textId="3B7A3802" w:rsidR="001E3A74" w:rsidRPr="002D1B10" w:rsidRDefault="00366510" w:rsidP="002D1B10">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The Board</w:t>
            </w:r>
          </w:p>
        </w:tc>
        <w:tc>
          <w:tcPr>
            <w:tcW w:w="1843" w:type="dxa"/>
            <w:tcBorders>
              <w:top w:val="single" w:sz="4" w:space="0" w:color="auto"/>
            </w:tcBorders>
            <w:vAlign w:val="center"/>
          </w:tcPr>
          <w:p w14:paraId="5CCF64A8" w14:textId="77777777" w:rsidR="001E3A74" w:rsidRPr="002D1B10" w:rsidRDefault="001E3A74" w:rsidP="002D1B10">
            <w:pPr>
              <w:shd w:val="clear" w:color="auto" w:fill="FFFFFF" w:themeFill="background1"/>
              <w:rPr>
                <w:rFonts w:ascii="Arial" w:hAnsi="Arial" w:cs="Arial"/>
                <w:color w:val="FF0000"/>
                <w:sz w:val="22"/>
                <w:szCs w:val="22"/>
              </w:rPr>
            </w:pPr>
            <w:r w:rsidRPr="002D1B10">
              <w:rPr>
                <w:rFonts w:ascii="Arial" w:hAnsi="Arial" w:cs="Arial"/>
                <w:sz w:val="22"/>
                <w:szCs w:val="22"/>
              </w:rPr>
              <w:t>Approved date:</w:t>
            </w:r>
          </w:p>
        </w:tc>
        <w:tc>
          <w:tcPr>
            <w:tcW w:w="1984" w:type="dxa"/>
            <w:tcBorders>
              <w:top w:val="single" w:sz="4" w:space="0" w:color="auto"/>
            </w:tcBorders>
          </w:tcPr>
          <w:p w14:paraId="5CCF64A9" w14:textId="6BE86D01" w:rsidR="001E3A74" w:rsidRPr="00366510" w:rsidRDefault="00366510" w:rsidP="00B91AA4">
            <w:pPr>
              <w:shd w:val="clear" w:color="auto" w:fill="FFFFFF" w:themeFill="background1"/>
              <w:rPr>
                <w:rFonts w:ascii="Arial" w:hAnsi="Arial" w:cs="Arial"/>
                <w:sz w:val="22"/>
                <w:szCs w:val="22"/>
              </w:rPr>
            </w:pPr>
            <w:r w:rsidRPr="00366510">
              <w:rPr>
                <w:rFonts w:ascii="Arial" w:hAnsi="Arial" w:cs="Arial"/>
                <w:sz w:val="22"/>
                <w:szCs w:val="22"/>
              </w:rPr>
              <w:t>07.03.2024</w:t>
            </w:r>
          </w:p>
        </w:tc>
      </w:tr>
      <w:tr w:rsidR="001E3A74" w:rsidRPr="002D1B10" w14:paraId="5CCF64AF" w14:textId="77777777" w:rsidTr="002D1B10">
        <w:trPr>
          <w:trHeight w:val="313"/>
        </w:trPr>
        <w:tc>
          <w:tcPr>
            <w:tcW w:w="1701" w:type="dxa"/>
            <w:vAlign w:val="center"/>
          </w:tcPr>
          <w:p w14:paraId="5CCF64AB" w14:textId="77777777" w:rsidR="001E3A74" w:rsidRPr="002D1B10" w:rsidRDefault="001E3A74" w:rsidP="002D1B10">
            <w:pPr>
              <w:shd w:val="clear" w:color="auto" w:fill="FFFFFF" w:themeFill="background1"/>
              <w:rPr>
                <w:rFonts w:ascii="Arial" w:hAnsi="Arial" w:cs="Arial"/>
                <w:sz w:val="22"/>
                <w:szCs w:val="22"/>
              </w:rPr>
            </w:pPr>
            <w:r w:rsidRPr="002D1B10">
              <w:rPr>
                <w:rFonts w:ascii="Arial" w:hAnsi="Arial" w:cs="Arial"/>
                <w:sz w:val="22"/>
                <w:szCs w:val="22"/>
              </w:rPr>
              <w:t>Issue date:</w:t>
            </w:r>
          </w:p>
        </w:tc>
        <w:tc>
          <w:tcPr>
            <w:tcW w:w="4678" w:type="dxa"/>
            <w:gridSpan w:val="2"/>
            <w:vAlign w:val="center"/>
          </w:tcPr>
          <w:p w14:paraId="5CCF64AC" w14:textId="1DD6EF8A" w:rsidR="001E3A74" w:rsidRPr="002D1B10" w:rsidRDefault="00366510" w:rsidP="002D1B10">
            <w:pPr>
              <w:shd w:val="clear" w:color="auto" w:fill="FFFFFF" w:themeFill="background1"/>
              <w:spacing w:before="100" w:beforeAutospacing="1" w:after="100" w:afterAutospacing="1"/>
              <w:rPr>
                <w:rFonts w:ascii="Arial" w:eastAsiaTheme="minorEastAsia" w:hAnsi="Arial" w:cs="Arial"/>
                <w:sz w:val="22"/>
                <w:szCs w:val="22"/>
              </w:rPr>
            </w:pPr>
            <w:r>
              <w:rPr>
                <w:rFonts w:ascii="Arial" w:eastAsiaTheme="minorEastAsia" w:hAnsi="Arial" w:cs="Arial"/>
                <w:sz w:val="22"/>
                <w:szCs w:val="22"/>
              </w:rPr>
              <w:t>16.04.2024</w:t>
            </w:r>
          </w:p>
        </w:tc>
        <w:tc>
          <w:tcPr>
            <w:tcW w:w="1843" w:type="dxa"/>
            <w:vAlign w:val="center"/>
          </w:tcPr>
          <w:p w14:paraId="5CCF64AD" w14:textId="77777777" w:rsidR="001E3A74" w:rsidRPr="002D1B10" w:rsidRDefault="001E3A74" w:rsidP="002D1B10">
            <w:pPr>
              <w:shd w:val="clear" w:color="auto" w:fill="FFFFFF" w:themeFill="background1"/>
              <w:rPr>
                <w:rFonts w:ascii="Arial" w:hAnsi="Arial" w:cs="Arial"/>
                <w:color w:val="FF0000"/>
                <w:sz w:val="22"/>
                <w:szCs w:val="22"/>
              </w:rPr>
            </w:pPr>
            <w:r w:rsidRPr="002D1B10">
              <w:rPr>
                <w:rFonts w:ascii="Arial" w:hAnsi="Arial" w:cs="Arial"/>
                <w:sz w:val="22"/>
                <w:szCs w:val="22"/>
              </w:rPr>
              <w:t>Review due by:</w:t>
            </w:r>
          </w:p>
        </w:tc>
        <w:tc>
          <w:tcPr>
            <w:tcW w:w="1984" w:type="dxa"/>
          </w:tcPr>
          <w:p w14:paraId="5CCF64AE" w14:textId="465C2981" w:rsidR="001E3A74" w:rsidRPr="002D1B10" w:rsidRDefault="00366510" w:rsidP="00B91AA4">
            <w:pPr>
              <w:shd w:val="clear" w:color="auto" w:fill="FFFFFF" w:themeFill="background1"/>
              <w:rPr>
                <w:rFonts w:ascii="Arial" w:hAnsi="Arial" w:cs="Arial"/>
                <w:sz w:val="22"/>
                <w:szCs w:val="22"/>
              </w:rPr>
            </w:pPr>
            <w:r>
              <w:rPr>
                <w:rFonts w:ascii="Arial" w:hAnsi="Arial" w:cs="Arial"/>
                <w:sz w:val="22"/>
                <w:szCs w:val="22"/>
              </w:rPr>
              <w:t>March 2024</w:t>
            </w:r>
          </w:p>
        </w:tc>
      </w:tr>
    </w:tbl>
    <w:p w14:paraId="5CCF64B0" w14:textId="77777777" w:rsidR="00C8017B" w:rsidRPr="002D1B10" w:rsidRDefault="00C8017B" w:rsidP="00B91AA4">
      <w:pPr>
        <w:shd w:val="clear" w:color="auto" w:fill="FFFFFF" w:themeFill="background1"/>
        <w:rPr>
          <w:rFonts w:ascii="Arial" w:hAnsi="Arial" w:cs="Arial"/>
          <w:sz w:val="22"/>
          <w:szCs w:val="22"/>
        </w:rPr>
      </w:pPr>
    </w:p>
    <w:p w14:paraId="00742ED8" w14:textId="071C108C" w:rsidR="002C54EA" w:rsidRDefault="002C54EA">
      <w:pPr>
        <w:overflowPunct/>
        <w:autoSpaceDE/>
        <w:autoSpaceDN/>
        <w:adjustRightInd/>
        <w:spacing w:after="160" w:line="259" w:lineRule="auto"/>
        <w:rPr>
          <w:rFonts w:ascii="Arial" w:hAnsi="Arial" w:cs="Arial"/>
          <w:b/>
          <w:bCs/>
          <w:sz w:val="22"/>
          <w:szCs w:val="22"/>
        </w:rPr>
      </w:pPr>
    </w:p>
    <w:p w14:paraId="65EE0637" w14:textId="77777777" w:rsidR="002C54EA" w:rsidRDefault="002C54EA" w:rsidP="002C54EA">
      <w:pPr>
        <w:overflowPunct/>
        <w:autoSpaceDE/>
        <w:autoSpaceDN/>
        <w:adjustRightInd/>
        <w:spacing w:after="160" w:line="259" w:lineRule="auto"/>
        <w:rPr>
          <w:rFonts w:ascii="Arial" w:hAnsi="Arial" w:cs="Arial"/>
          <w:b/>
          <w:bCs/>
          <w:sz w:val="22"/>
          <w:szCs w:val="22"/>
        </w:rPr>
      </w:pPr>
      <w:r>
        <w:rPr>
          <w:rFonts w:ascii="Arial" w:hAnsi="Arial" w:cs="Arial"/>
          <w:b/>
          <w:bCs/>
          <w:sz w:val="22"/>
          <w:szCs w:val="22"/>
        </w:rPr>
        <w:br w:type="page"/>
      </w:r>
    </w:p>
    <w:sdt>
      <w:sdtPr>
        <w:rPr>
          <w:rFonts w:ascii="Times New Roman" w:eastAsia="Times New Roman" w:hAnsi="Times New Roman" w:cs="Times New Roman"/>
          <w:color w:val="auto"/>
          <w:sz w:val="26"/>
          <w:szCs w:val="20"/>
          <w:lang w:val="en-GB"/>
        </w:rPr>
        <w:id w:val="-1949151402"/>
        <w:docPartObj>
          <w:docPartGallery w:val="Table of Contents"/>
          <w:docPartUnique/>
        </w:docPartObj>
      </w:sdtPr>
      <w:sdtEndPr>
        <w:rPr>
          <w:b/>
          <w:bCs/>
          <w:noProof/>
        </w:rPr>
      </w:sdtEndPr>
      <w:sdtContent>
        <w:p w14:paraId="77714A50" w14:textId="6A93DF46" w:rsidR="002C54EA" w:rsidRDefault="002C54EA">
          <w:pPr>
            <w:pStyle w:val="TOCHeading"/>
          </w:pPr>
          <w:r>
            <w:t>Contents</w:t>
          </w:r>
        </w:p>
        <w:p w14:paraId="43607BD5" w14:textId="7E166FD6" w:rsidR="002C54EA" w:rsidRDefault="002C54EA">
          <w:pPr>
            <w:pStyle w:val="TOC1"/>
            <w:tabs>
              <w:tab w:val="right" w:leader="dot" w:pos="10456"/>
            </w:tabs>
            <w:rPr>
              <w:noProof/>
            </w:rPr>
          </w:pPr>
          <w:r>
            <w:fldChar w:fldCharType="begin"/>
          </w:r>
          <w:r>
            <w:instrText xml:space="preserve"> TOC \o "1-3" \h \z \u </w:instrText>
          </w:r>
          <w:r>
            <w:fldChar w:fldCharType="separate"/>
          </w:r>
          <w:hyperlink w:anchor="_Toc160009545" w:history="1">
            <w:r w:rsidRPr="00D444C2">
              <w:rPr>
                <w:rStyle w:val="Hyperlink"/>
                <w:noProof/>
              </w:rPr>
              <w:t>MUTUAL EXCHANGE POLICY</w:t>
            </w:r>
            <w:r>
              <w:rPr>
                <w:noProof/>
                <w:webHidden/>
              </w:rPr>
              <w:tab/>
            </w:r>
            <w:r>
              <w:rPr>
                <w:noProof/>
                <w:webHidden/>
              </w:rPr>
              <w:fldChar w:fldCharType="begin"/>
            </w:r>
            <w:r>
              <w:rPr>
                <w:noProof/>
                <w:webHidden/>
              </w:rPr>
              <w:instrText xml:space="preserve"> PAGEREF _Toc160009545 \h </w:instrText>
            </w:r>
            <w:r>
              <w:rPr>
                <w:noProof/>
                <w:webHidden/>
              </w:rPr>
            </w:r>
            <w:r>
              <w:rPr>
                <w:noProof/>
                <w:webHidden/>
              </w:rPr>
              <w:fldChar w:fldCharType="separate"/>
            </w:r>
            <w:r>
              <w:rPr>
                <w:noProof/>
                <w:webHidden/>
              </w:rPr>
              <w:t>3</w:t>
            </w:r>
            <w:r>
              <w:rPr>
                <w:noProof/>
                <w:webHidden/>
              </w:rPr>
              <w:fldChar w:fldCharType="end"/>
            </w:r>
          </w:hyperlink>
        </w:p>
        <w:p w14:paraId="677B7EDB" w14:textId="5EC16516" w:rsidR="002C54EA" w:rsidRDefault="006833D9">
          <w:pPr>
            <w:pStyle w:val="TOC2"/>
            <w:tabs>
              <w:tab w:val="right" w:leader="dot" w:pos="10456"/>
            </w:tabs>
            <w:rPr>
              <w:noProof/>
            </w:rPr>
          </w:pPr>
          <w:hyperlink w:anchor="_Toc160009546" w:history="1">
            <w:r w:rsidR="002C54EA" w:rsidRPr="00D444C2">
              <w:rPr>
                <w:rStyle w:val="Hyperlink"/>
                <w:noProof/>
              </w:rPr>
              <w:t>Policy Statement</w:t>
            </w:r>
            <w:r w:rsidR="002C54EA">
              <w:rPr>
                <w:noProof/>
                <w:webHidden/>
              </w:rPr>
              <w:tab/>
            </w:r>
            <w:r w:rsidR="002C54EA">
              <w:rPr>
                <w:noProof/>
                <w:webHidden/>
              </w:rPr>
              <w:fldChar w:fldCharType="begin"/>
            </w:r>
            <w:r w:rsidR="002C54EA">
              <w:rPr>
                <w:noProof/>
                <w:webHidden/>
              </w:rPr>
              <w:instrText xml:space="preserve"> PAGEREF _Toc160009546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07BE87A8" w14:textId="764BFB15" w:rsidR="002C54EA" w:rsidRDefault="006833D9">
          <w:pPr>
            <w:pStyle w:val="TOC2"/>
            <w:tabs>
              <w:tab w:val="right" w:leader="dot" w:pos="10456"/>
            </w:tabs>
            <w:rPr>
              <w:noProof/>
            </w:rPr>
          </w:pPr>
          <w:hyperlink w:anchor="_Toc160009547" w:history="1">
            <w:r w:rsidR="002C54EA" w:rsidRPr="00D444C2">
              <w:rPr>
                <w:rStyle w:val="Hyperlink"/>
                <w:noProof/>
              </w:rPr>
              <w:t>Scope of Policy</w:t>
            </w:r>
            <w:r w:rsidR="002C54EA">
              <w:rPr>
                <w:noProof/>
                <w:webHidden/>
              </w:rPr>
              <w:tab/>
            </w:r>
            <w:r w:rsidR="002C54EA">
              <w:rPr>
                <w:noProof/>
                <w:webHidden/>
              </w:rPr>
              <w:fldChar w:fldCharType="begin"/>
            </w:r>
            <w:r w:rsidR="002C54EA">
              <w:rPr>
                <w:noProof/>
                <w:webHidden/>
              </w:rPr>
              <w:instrText xml:space="preserve"> PAGEREF _Toc160009547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3366E151" w14:textId="0AC6C3A6" w:rsidR="002C54EA" w:rsidRDefault="006833D9">
          <w:pPr>
            <w:pStyle w:val="TOC2"/>
            <w:tabs>
              <w:tab w:val="right" w:leader="dot" w:pos="10456"/>
            </w:tabs>
            <w:rPr>
              <w:noProof/>
            </w:rPr>
          </w:pPr>
          <w:hyperlink w:anchor="_Toc160009548" w:history="1">
            <w:r w:rsidR="002C54EA" w:rsidRPr="00D444C2">
              <w:rPr>
                <w:rStyle w:val="Hyperlink"/>
                <w:noProof/>
              </w:rPr>
              <w:t>Definitions</w:t>
            </w:r>
            <w:r w:rsidR="002C54EA">
              <w:rPr>
                <w:noProof/>
                <w:webHidden/>
              </w:rPr>
              <w:tab/>
            </w:r>
            <w:r w:rsidR="002C54EA">
              <w:rPr>
                <w:noProof/>
                <w:webHidden/>
              </w:rPr>
              <w:fldChar w:fldCharType="begin"/>
            </w:r>
            <w:r w:rsidR="002C54EA">
              <w:rPr>
                <w:noProof/>
                <w:webHidden/>
              </w:rPr>
              <w:instrText xml:space="preserve"> PAGEREF _Toc160009548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0CDEBD7D" w14:textId="39BE04E2" w:rsidR="002C54EA" w:rsidRDefault="006833D9">
          <w:pPr>
            <w:pStyle w:val="TOC2"/>
            <w:tabs>
              <w:tab w:val="right" w:leader="dot" w:pos="10456"/>
            </w:tabs>
            <w:rPr>
              <w:noProof/>
            </w:rPr>
          </w:pPr>
          <w:hyperlink w:anchor="_Toc160009549" w:history="1">
            <w:r w:rsidR="002C54EA" w:rsidRPr="00D444C2">
              <w:rPr>
                <w:rStyle w:val="Hyperlink"/>
                <w:noProof/>
              </w:rPr>
              <w:t>Legislation and Guidance</w:t>
            </w:r>
            <w:r w:rsidR="002C54EA">
              <w:rPr>
                <w:noProof/>
                <w:webHidden/>
              </w:rPr>
              <w:tab/>
            </w:r>
            <w:r w:rsidR="002C54EA">
              <w:rPr>
                <w:noProof/>
                <w:webHidden/>
              </w:rPr>
              <w:fldChar w:fldCharType="begin"/>
            </w:r>
            <w:r w:rsidR="002C54EA">
              <w:rPr>
                <w:noProof/>
                <w:webHidden/>
              </w:rPr>
              <w:instrText xml:space="preserve"> PAGEREF _Toc160009549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58182ED0" w14:textId="61F729E1" w:rsidR="002C54EA" w:rsidRDefault="006833D9">
          <w:pPr>
            <w:pStyle w:val="TOC2"/>
            <w:tabs>
              <w:tab w:val="right" w:leader="dot" w:pos="10456"/>
            </w:tabs>
            <w:rPr>
              <w:noProof/>
            </w:rPr>
          </w:pPr>
          <w:hyperlink w:anchor="_Toc160009550" w:history="1">
            <w:r w:rsidR="002C54EA" w:rsidRPr="00D444C2">
              <w:rPr>
                <w:rStyle w:val="Hyperlink"/>
                <w:noProof/>
              </w:rPr>
              <w:t>Equality, Diversity &amp; Inclusion</w:t>
            </w:r>
            <w:r w:rsidR="002C54EA">
              <w:rPr>
                <w:noProof/>
                <w:webHidden/>
              </w:rPr>
              <w:tab/>
            </w:r>
            <w:r w:rsidR="002C54EA">
              <w:rPr>
                <w:noProof/>
                <w:webHidden/>
              </w:rPr>
              <w:fldChar w:fldCharType="begin"/>
            </w:r>
            <w:r w:rsidR="002C54EA">
              <w:rPr>
                <w:noProof/>
                <w:webHidden/>
              </w:rPr>
              <w:instrText xml:space="preserve"> PAGEREF _Toc160009550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32C8C990" w14:textId="48515553" w:rsidR="002C54EA" w:rsidRDefault="006833D9">
          <w:pPr>
            <w:pStyle w:val="TOC2"/>
            <w:tabs>
              <w:tab w:val="right" w:leader="dot" w:pos="10456"/>
            </w:tabs>
            <w:rPr>
              <w:noProof/>
            </w:rPr>
          </w:pPr>
          <w:hyperlink w:anchor="_Toc160009551" w:history="1">
            <w:r w:rsidR="002C54EA" w:rsidRPr="00D444C2">
              <w:rPr>
                <w:rStyle w:val="Hyperlink"/>
                <w:noProof/>
              </w:rPr>
              <w:t>Roles and Responsibilities</w:t>
            </w:r>
            <w:r w:rsidR="002C54EA">
              <w:rPr>
                <w:noProof/>
                <w:webHidden/>
              </w:rPr>
              <w:tab/>
            </w:r>
            <w:r w:rsidR="002C54EA">
              <w:rPr>
                <w:noProof/>
                <w:webHidden/>
              </w:rPr>
              <w:fldChar w:fldCharType="begin"/>
            </w:r>
            <w:r w:rsidR="002C54EA">
              <w:rPr>
                <w:noProof/>
                <w:webHidden/>
              </w:rPr>
              <w:instrText xml:space="preserve"> PAGEREF _Toc160009551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5BE977A5" w14:textId="4E51A5E5" w:rsidR="002C54EA" w:rsidRDefault="006833D9">
          <w:pPr>
            <w:pStyle w:val="TOC2"/>
            <w:tabs>
              <w:tab w:val="right" w:leader="dot" w:pos="10456"/>
            </w:tabs>
            <w:rPr>
              <w:noProof/>
            </w:rPr>
          </w:pPr>
          <w:hyperlink w:anchor="_Toc160009552" w:history="1">
            <w:r w:rsidR="002C54EA" w:rsidRPr="00D444C2">
              <w:rPr>
                <w:rStyle w:val="Hyperlink"/>
                <w:noProof/>
              </w:rPr>
              <w:t>Communication</w:t>
            </w:r>
            <w:r w:rsidR="002C54EA">
              <w:rPr>
                <w:noProof/>
                <w:webHidden/>
              </w:rPr>
              <w:tab/>
            </w:r>
            <w:r w:rsidR="002C54EA">
              <w:rPr>
                <w:noProof/>
                <w:webHidden/>
              </w:rPr>
              <w:fldChar w:fldCharType="begin"/>
            </w:r>
            <w:r w:rsidR="002C54EA">
              <w:rPr>
                <w:noProof/>
                <w:webHidden/>
              </w:rPr>
              <w:instrText xml:space="preserve"> PAGEREF _Toc160009552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269FE915" w14:textId="099802D7" w:rsidR="002C54EA" w:rsidRDefault="006833D9">
          <w:pPr>
            <w:pStyle w:val="TOC2"/>
            <w:tabs>
              <w:tab w:val="right" w:leader="dot" w:pos="10456"/>
            </w:tabs>
            <w:rPr>
              <w:noProof/>
            </w:rPr>
          </w:pPr>
          <w:hyperlink w:anchor="_Toc160009553" w:history="1">
            <w:r w:rsidR="002C54EA" w:rsidRPr="00D444C2">
              <w:rPr>
                <w:rStyle w:val="Hyperlink"/>
                <w:noProof/>
              </w:rPr>
              <w:t>Responsibility</w:t>
            </w:r>
            <w:r w:rsidR="002C54EA">
              <w:rPr>
                <w:noProof/>
                <w:webHidden/>
              </w:rPr>
              <w:tab/>
            </w:r>
            <w:r w:rsidR="002C54EA">
              <w:rPr>
                <w:noProof/>
                <w:webHidden/>
              </w:rPr>
              <w:fldChar w:fldCharType="begin"/>
            </w:r>
            <w:r w:rsidR="002C54EA">
              <w:rPr>
                <w:noProof/>
                <w:webHidden/>
              </w:rPr>
              <w:instrText xml:space="preserve"> PAGEREF _Toc160009553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5FBD92EF" w14:textId="4032BD40" w:rsidR="002C54EA" w:rsidRDefault="006833D9">
          <w:pPr>
            <w:pStyle w:val="TOC2"/>
            <w:tabs>
              <w:tab w:val="right" w:leader="dot" w:pos="10456"/>
            </w:tabs>
            <w:rPr>
              <w:noProof/>
            </w:rPr>
          </w:pPr>
          <w:hyperlink w:anchor="_Toc160009554" w:history="1">
            <w:r w:rsidR="002C54EA" w:rsidRPr="00D444C2">
              <w:rPr>
                <w:rStyle w:val="Hyperlink"/>
                <w:noProof/>
              </w:rPr>
              <w:t>Continuous Renewal Clause</w:t>
            </w:r>
            <w:r w:rsidR="002C54EA">
              <w:rPr>
                <w:noProof/>
                <w:webHidden/>
              </w:rPr>
              <w:tab/>
            </w:r>
            <w:r w:rsidR="002C54EA">
              <w:rPr>
                <w:noProof/>
                <w:webHidden/>
              </w:rPr>
              <w:fldChar w:fldCharType="begin"/>
            </w:r>
            <w:r w:rsidR="002C54EA">
              <w:rPr>
                <w:noProof/>
                <w:webHidden/>
              </w:rPr>
              <w:instrText xml:space="preserve"> PAGEREF _Toc160009554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06BABF88" w14:textId="2E4F91D9" w:rsidR="002C54EA" w:rsidRDefault="006833D9">
          <w:pPr>
            <w:pStyle w:val="TOC2"/>
            <w:tabs>
              <w:tab w:val="right" w:leader="dot" w:pos="10456"/>
            </w:tabs>
            <w:rPr>
              <w:noProof/>
            </w:rPr>
          </w:pPr>
          <w:hyperlink w:anchor="_Toc160009555" w:history="1">
            <w:r w:rsidR="002C54EA" w:rsidRPr="00D444C2">
              <w:rPr>
                <w:rStyle w:val="Hyperlink"/>
                <w:noProof/>
              </w:rPr>
              <w:t>Disclaimer</w:t>
            </w:r>
            <w:r w:rsidR="002C54EA">
              <w:rPr>
                <w:noProof/>
                <w:webHidden/>
              </w:rPr>
              <w:tab/>
            </w:r>
            <w:r w:rsidR="002C54EA">
              <w:rPr>
                <w:noProof/>
                <w:webHidden/>
              </w:rPr>
              <w:fldChar w:fldCharType="begin"/>
            </w:r>
            <w:r w:rsidR="002C54EA">
              <w:rPr>
                <w:noProof/>
                <w:webHidden/>
              </w:rPr>
              <w:instrText xml:space="preserve"> PAGEREF _Toc160009555 \h </w:instrText>
            </w:r>
            <w:r w:rsidR="002C54EA">
              <w:rPr>
                <w:noProof/>
                <w:webHidden/>
              </w:rPr>
            </w:r>
            <w:r w:rsidR="002C54EA">
              <w:rPr>
                <w:noProof/>
                <w:webHidden/>
              </w:rPr>
              <w:fldChar w:fldCharType="separate"/>
            </w:r>
            <w:r w:rsidR="002C54EA">
              <w:rPr>
                <w:noProof/>
                <w:webHidden/>
              </w:rPr>
              <w:t>3</w:t>
            </w:r>
            <w:r w:rsidR="002C54EA">
              <w:rPr>
                <w:noProof/>
                <w:webHidden/>
              </w:rPr>
              <w:fldChar w:fldCharType="end"/>
            </w:r>
          </w:hyperlink>
        </w:p>
        <w:p w14:paraId="45527CAD" w14:textId="7106CB65" w:rsidR="002C54EA" w:rsidRDefault="006833D9">
          <w:pPr>
            <w:pStyle w:val="TOC1"/>
            <w:tabs>
              <w:tab w:val="right" w:leader="dot" w:pos="10456"/>
            </w:tabs>
            <w:rPr>
              <w:noProof/>
            </w:rPr>
          </w:pPr>
          <w:hyperlink w:anchor="_Toc160009556" w:history="1">
            <w:r w:rsidR="002C54EA" w:rsidRPr="00D444C2">
              <w:rPr>
                <w:rStyle w:val="Hyperlink"/>
                <w:noProof/>
              </w:rPr>
              <w:t>MUTUAL EXCHANGE PROCEDURE</w:t>
            </w:r>
            <w:r w:rsidR="002C54EA">
              <w:rPr>
                <w:noProof/>
                <w:webHidden/>
              </w:rPr>
              <w:tab/>
            </w:r>
            <w:r w:rsidR="002C54EA">
              <w:rPr>
                <w:noProof/>
                <w:webHidden/>
              </w:rPr>
              <w:fldChar w:fldCharType="begin"/>
            </w:r>
            <w:r w:rsidR="002C54EA">
              <w:rPr>
                <w:noProof/>
                <w:webHidden/>
              </w:rPr>
              <w:instrText xml:space="preserve"> PAGEREF _Toc160009556 \h </w:instrText>
            </w:r>
            <w:r w:rsidR="002C54EA">
              <w:rPr>
                <w:noProof/>
                <w:webHidden/>
              </w:rPr>
            </w:r>
            <w:r w:rsidR="002C54EA">
              <w:rPr>
                <w:noProof/>
                <w:webHidden/>
              </w:rPr>
              <w:fldChar w:fldCharType="separate"/>
            </w:r>
            <w:r w:rsidR="002C54EA">
              <w:rPr>
                <w:noProof/>
                <w:webHidden/>
              </w:rPr>
              <w:t>5</w:t>
            </w:r>
            <w:r w:rsidR="002C54EA">
              <w:rPr>
                <w:noProof/>
                <w:webHidden/>
              </w:rPr>
              <w:fldChar w:fldCharType="end"/>
            </w:r>
          </w:hyperlink>
        </w:p>
        <w:p w14:paraId="0885E280" w14:textId="11E0C7ED" w:rsidR="002C54EA" w:rsidRDefault="006833D9">
          <w:pPr>
            <w:pStyle w:val="TOC3"/>
            <w:tabs>
              <w:tab w:val="left" w:pos="880"/>
              <w:tab w:val="right" w:leader="dot" w:pos="10456"/>
            </w:tabs>
            <w:rPr>
              <w:noProof/>
            </w:rPr>
          </w:pPr>
          <w:hyperlink w:anchor="_Toc160009557" w:history="1">
            <w:r w:rsidR="002C54EA" w:rsidRPr="00D444C2">
              <w:rPr>
                <w:rStyle w:val="Hyperlink"/>
                <w:noProof/>
              </w:rPr>
              <w:t>1.</w:t>
            </w:r>
            <w:r w:rsidR="002C54EA">
              <w:rPr>
                <w:noProof/>
              </w:rPr>
              <w:tab/>
            </w:r>
            <w:r w:rsidR="002C54EA" w:rsidRPr="00D444C2">
              <w:rPr>
                <w:rStyle w:val="Hyperlink"/>
                <w:noProof/>
              </w:rPr>
              <w:t>Types of Tenancy/Licence</w:t>
            </w:r>
            <w:r w:rsidR="002C54EA">
              <w:rPr>
                <w:noProof/>
                <w:webHidden/>
              </w:rPr>
              <w:tab/>
            </w:r>
            <w:r w:rsidR="002C54EA">
              <w:rPr>
                <w:noProof/>
                <w:webHidden/>
              </w:rPr>
              <w:fldChar w:fldCharType="begin"/>
            </w:r>
            <w:r w:rsidR="002C54EA">
              <w:rPr>
                <w:noProof/>
                <w:webHidden/>
              </w:rPr>
              <w:instrText xml:space="preserve"> PAGEREF _Toc160009557 \h </w:instrText>
            </w:r>
            <w:r w:rsidR="002C54EA">
              <w:rPr>
                <w:noProof/>
                <w:webHidden/>
              </w:rPr>
            </w:r>
            <w:r w:rsidR="002C54EA">
              <w:rPr>
                <w:noProof/>
                <w:webHidden/>
              </w:rPr>
              <w:fldChar w:fldCharType="separate"/>
            </w:r>
            <w:r w:rsidR="002C54EA">
              <w:rPr>
                <w:noProof/>
                <w:webHidden/>
              </w:rPr>
              <w:t>5</w:t>
            </w:r>
            <w:r w:rsidR="002C54EA">
              <w:rPr>
                <w:noProof/>
                <w:webHidden/>
              </w:rPr>
              <w:fldChar w:fldCharType="end"/>
            </w:r>
          </w:hyperlink>
        </w:p>
        <w:p w14:paraId="134F0053" w14:textId="527F5F22" w:rsidR="002C54EA" w:rsidRDefault="006833D9">
          <w:pPr>
            <w:pStyle w:val="TOC3"/>
            <w:tabs>
              <w:tab w:val="left" w:pos="880"/>
              <w:tab w:val="right" w:leader="dot" w:pos="10456"/>
            </w:tabs>
            <w:rPr>
              <w:noProof/>
            </w:rPr>
          </w:pPr>
          <w:hyperlink w:anchor="_Toc160009558" w:history="1">
            <w:r w:rsidR="002C54EA" w:rsidRPr="00D444C2">
              <w:rPr>
                <w:rStyle w:val="Hyperlink"/>
                <w:noProof/>
              </w:rPr>
              <w:t>2.</w:t>
            </w:r>
            <w:r w:rsidR="002C54EA">
              <w:rPr>
                <w:noProof/>
              </w:rPr>
              <w:tab/>
            </w:r>
            <w:r w:rsidR="002C54EA" w:rsidRPr="00D444C2">
              <w:rPr>
                <w:rStyle w:val="Hyperlink"/>
                <w:noProof/>
              </w:rPr>
              <w:t>The Right to Mutual Exchange</w:t>
            </w:r>
            <w:r w:rsidR="002C54EA">
              <w:rPr>
                <w:noProof/>
                <w:webHidden/>
              </w:rPr>
              <w:tab/>
            </w:r>
            <w:r w:rsidR="002C54EA">
              <w:rPr>
                <w:noProof/>
                <w:webHidden/>
              </w:rPr>
              <w:fldChar w:fldCharType="begin"/>
            </w:r>
            <w:r w:rsidR="002C54EA">
              <w:rPr>
                <w:noProof/>
                <w:webHidden/>
              </w:rPr>
              <w:instrText xml:space="preserve"> PAGEREF _Toc160009558 \h </w:instrText>
            </w:r>
            <w:r w:rsidR="002C54EA">
              <w:rPr>
                <w:noProof/>
                <w:webHidden/>
              </w:rPr>
            </w:r>
            <w:r w:rsidR="002C54EA">
              <w:rPr>
                <w:noProof/>
                <w:webHidden/>
              </w:rPr>
              <w:fldChar w:fldCharType="separate"/>
            </w:r>
            <w:r w:rsidR="002C54EA">
              <w:rPr>
                <w:noProof/>
                <w:webHidden/>
              </w:rPr>
              <w:t>5</w:t>
            </w:r>
            <w:r w:rsidR="002C54EA">
              <w:rPr>
                <w:noProof/>
                <w:webHidden/>
              </w:rPr>
              <w:fldChar w:fldCharType="end"/>
            </w:r>
          </w:hyperlink>
        </w:p>
        <w:p w14:paraId="58CC2FFD" w14:textId="5A694597" w:rsidR="002C54EA" w:rsidRDefault="006833D9">
          <w:pPr>
            <w:pStyle w:val="TOC3"/>
            <w:tabs>
              <w:tab w:val="left" w:pos="880"/>
              <w:tab w:val="right" w:leader="dot" w:pos="10456"/>
            </w:tabs>
            <w:rPr>
              <w:noProof/>
            </w:rPr>
          </w:pPr>
          <w:hyperlink w:anchor="_Toc160009559" w:history="1">
            <w:r w:rsidR="002C54EA" w:rsidRPr="00D444C2">
              <w:rPr>
                <w:rStyle w:val="Hyperlink"/>
                <w:noProof/>
              </w:rPr>
              <w:t>3.</w:t>
            </w:r>
            <w:r w:rsidR="002C54EA">
              <w:rPr>
                <w:noProof/>
              </w:rPr>
              <w:tab/>
            </w:r>
            <w:r w:rsidR="002C54EA" w:rsidRPr="00D444C2">
              <w:rPr>
                <w:rStyle w:val="Hyperlink"/>
                <w:noProof/>
              </w:rPr>
              <w:t>St Basil’s &amp; Mutual Exchange</w:t>
            </w:r>
            <w:r w:rsidR="002C54EA">
              <w:rPr>
                <w:noProof/>
                <w:webHidden/>
              </w:rPr>
              <w:tab/>
            </w:r>
            <w:r w:rsidR="002C54EA">
              <w:rPr>
                <w:noProof/>
                <w:webHidden/>
              </w:rPr>
              <w:fldChar w:fldCharType="begin"/>
            </w:r>
            <w:r w:rsidR="002C54EA">
              <w:rPr>
                <w:noProof/>
                <w:webHidden/>
              </w:rPr>
              <w:instrText xml:space="preserve"> PAGEREF _Toc160009559 \h </w:instrText>
            </w:r>
            <w:r w:rsidR="002C54EA">
              <w:rPr>
                <w:noProof/>
                <w:webHidden/>
              </w:rPr>
            </w:r>
            <w:r w:rsidR="002C54EA">
              <w:rPr>
                <w:noProof/>
                <w:webHidden/>
              </w:rPr>
              <w:fldChar w:fldCharType="separate"/>
            </w:r>
            <w:r w:rsidR="002C54EA">
              <w:rPr>
                <w:noProof/>
                <w:webHidden/>
              </w:rPr>
              <w:t>6</w:t>
            </w:r>
            <w:r w:rsidR="002C54EA">
              <w:rPr>
                <w:noProof/>
                <w:webHidden/>
              </w:rPr>
              <w:fldChar w:fldCharType="end"/>
            </w:r>
          </w:hyperlink>
        </w:p>
        <w:p w14:paraId="503CD333" w14:textId="139F8A93" w:rsidR="002C54EA" w:rsidRDefault="002C54EA">
          <w:r>
            <w:rPr>
              <w:b/>
              <w:bCs/>
              <w:noProof/>
            </w:rPr>
            <w:fldChar w:fldCharType="end"/>
          </w:r>
        </w:p>
      </w:sdtContent>
    </w:sdt>
    <w:p w14:paraId="25B09A18" w14:textId="63DE65A3" w:rsidR="002C54EA" w:rsidRDefault="002C54EA" w:rsidP="002C54EA">
      <w:pPr>
        <w:overflowPunct/>
        <w:autoSpaceDE/>
        <w:autoSpaceDN/>
        <w:adjustRightInd/>
        <w:spacing w:after="160" w:line="259" w:lineRule="auto"/>
        <w:rPr>
          <w:rFonts w:ascii="Arial" w:hAnsi="Arial" w:cs="Arial"/>
          <w:b/>
          <w:bCs/>
          <w:sz w:val="22"/>
          <w:szCs w:val="22"/>
        </w:rPr>
        <w:sectPr w:rsidR="002C54EA" w:rsidSect="00A96986">
          <w:footerReference w:type="default" r:id="rId9"/>
          <w:pgSz w:w="11906" w:h="16838"/>
          <w:pgMar w:top="720" w:right="720" w:bottom="720" w:left="720" w:header="708" w:footer="708" w:gutter="0"/>
          <w:cols w:space="708"/>
          <w:docGrid w:linePitch="360"/>
        </w:sectPr>
      </w:pPr>
    </w:p>
    <w:p w14:paraId="71AF02B3" w14:textId="21D055FB" w:rsidR="009249DC" w:rsidRDefault="009249DC" w:rsidP="009249DC">
      <w:pPr>
        <w:pStyle w:val="Heading1"/>
      </w:pPr>
      <w:bookmarkStart w:id="0" w:name="_Toc160009545"/>
      <w:r>
        <w:lastRenderedPageBreak/>
        <w:t>MUTUAL EXCHANGE POLICY</w:t>
      </w:r>
      <w:bookmarkEnd w:id="0"/>
    </w:p>
    <w:p w14:paraId="52E22EDF" w14:textId="77777777" w:rsidR="009249DC" w:rsidRDefault="009249DC" w:rsidP="00B91AA4">
      <w:pPr>
        <w:shd w:val="clear" w:color="auto" w:fill="FFFFFF" w:themeFill="background1"/>
        <w:rPr>
          <w:rFonts w:ascii="Arial" w:hAnsi="Arial" w:cs="Arial"/>
          <w:b/>
          <w:bCs/>
          <w:sz w:val="22"/>
          <w:szCs w:val="22"/>
        </w:rPr>
      </w:pPr>
    </w:p>
    <w:p w14:paraId="5CCF64BA" w14:textId="62077361" w:rsidR="001E3A74" w:rsidRPr="00E54037" w:rsidRDefault="001E3A74" w:rsidP="009249DC">
      <w:pPr>
        <w:pStyle w:val="Heading2"/>
      </w:pPr>
      <w:bookmarkStart w:id="1" w:name="_Toc160009546"/>
      <w:r w:rsidRPr="00E54037">
        <w:t>Policy Statement</w:t>
      </w:r>
      <w:bookmarkEnd w:id="1"/>
    </w:p>
    <w:p w14:paraId="1E672511" w14:textId="441DB5CB" w:rsidR="003057E5" w:rsidRPr="00E54037" w:rsidRDefault="0067561C" w:rsidP="003E0D4C">
      <w:pPr>
        <w:shd w:val="clear" w:color="auto" w:fill="FFFFFF" w:themeFill="background1"/>
        <w:tabs>
          <w:tab w:val="left" w:pos="709"/>
        </w:tabs>
        <w:rPr>
          <w:rFonts w:ascii="Arial" w:hAnsi="Arial" w:cs="Arial"/>
          <w:sz w:val="22"/>
          <w:szCs w:val="22"/>
        </w:rPr>
      </w:pPr>
      <w:r>
        <w:rPr>
          <w:rFonts w:ascii="Arial" w:hAnsi="Arial" w:cs="Arial"/>
          <w:sz w:val="22"/>
          <w:szCs w:val="22"/>
        </w:rPr>
        <w:t xml:space="preserve">The Consumer Standards require all Registered Providers to have a policy on mutual exchange. </w:t>
      </w:r>
      <w:r w:rsidR="00A45269">
        <w:rPr>
          <w:rFonts w:ascii="Arial" w:hAnsi="Arial" w:cs="Arial"/>
          <w:sz w:val="22"/>
          <w:szCs w:val="22"/>
        </w:rPr>
        <w:t xml:space="preserve">Mutual </w:t>
      </w:r>
      <w:r>
        <w:rPr>
          <w:rFonts w:ascii="Arial" w:hAnsi="Arial" w:cs="Arial"/>
          <w:sz w:val="22"/>
          <w:szCs w:val="22"/>
        </w:rPr>
        <w:t>e</w:t>
      </w:r>
      <w:r w:rsidR="00A45269">
        <w:rPr>
          <w:rFonts w:ascii="Arial" w:hAnsi="Arial" w:cs="Arial"/>
          <w:sz w:val="22"/>
          <w:szCs w:val="22"/>
        </w:rPr>
        <w:t xml:space="preserve">xchanges take place when two (or more) tenants agree to exchange </w:t>
      </w:r>
      <w:r w:rsidR="00BC7C31">
        <w:rPr>
          <w:rFonts w:ascii="Arial" w:hAnsi="Arial" w:cs="Arial"/>
          <w:sz w:val="22"/>
          <w:szCs w:val="22"/>
        </w:rPr>
        <w:t>their properties</w:t>
      </w:r>
      <w:r w:rsidR="00A45269">
        <w:rPr>
          <w:rFonts w:ascii="Arial" w:hAnsi="Arial" w:cs="Arial"/>
          <w:sz w:val="22"/>
          <w:szCs w:val="22"/>
        </w:rPr>
        <w:t xml:space="preserve"> with each other. Those wishing to exchange must be tenants of a social housing landlord such as a local authority or housing association. Mutual exchange is </w:t>
      </w:r>
      <w:r w:rsidR="00BC7C31">
        <w:rPr>
          <w:rFonts w:ascii="Arial" w:hAnsi="Arial" w:cs="Arial"/>
          <w:sz w:val="22"/>
          <w:szCs w:val="22"/>
        </w:rPr>
        <w:t xml:space="preserve">only </w:t>
      </w:r>
      <w:r w:rsidR="00A45269">
        <w:rPr>
          <w:rFonts w:ascii="Arial" w:hAnsi="Arial" w:cs="Arial"/>
          <w:sz w:val="22"/>
          <w:szCs w:val="22"/>
        </w:rPr>
        <w:t xml:space="preserve">possible when tenants have one of the following tenancy types secure, assured (non-shorthold) or fixed assured shorthold (fixed term of more than 2 years). St Basil’s does not offer the tenancy types which enable mutual exchange </w:t>
      </w:r>
      <w:r>
        <w:rPr>
          <w:rFonts w:ascii="Arial" w:hAnsi="Arial" w:cs="Arial"/>
          <w:sz w:val="22"/>
          <w:szCs w:val="22"/>
        </w:rPr>
        <w:t xml:space="preserve">to take place </w:t>
      </w:r>
      <w:r w:rsidR="00A45269">
        <w:rPr>
          <w:rFonts w:ascii="Arial" w:hAnsi="Arial" w:cs="Arial"/>
          <w:sz w:val="22"/>
          <w:szCs w:val="22"/>
        </w:rPr>
        <w:t xml:space="preserve">and so this is not a service which is available to our Young People or the tenants of other social landlords.  </w:t>
      </w:r>
    </w:p>
    <w:p w14:paraId="5CCF64BF" w14:textId="77777777" w:rsidR="001E3A74" w:rsidRPr="00E54037" w:rsidRDefault="001E3A74" w:rsidP="00982C26">
      <w:pPr>
        <w:shd w:val="clear" w:color="auto" w:fill="FFFFFF" w:themeFill="background1"/>
        <w:rPr>
          <w:rFonts w:ascii="Arial" w:hAnsi="Arial" w:cs="Arial"/>
          <w:sz w:val="22"/>
          <w:szCs w:val="22"/>
        </w:rPr>
      </w:pPr>
    </w:p>
    <w:p w14:paraId="5CCF64C0" w14:textId="77777777" w:rsidR="001E3A74" w:rsidRPr="00E54037" w:rsidRDefault="001E3A74" w:rsidP="009249DC">
      <w:pPr>
        <w:pStyle w:val="Heading2"/>
      </w:pPr>
      <w:bookmarkStart w:id="2" w:name="_Toc160009547"/>
      <w:r w:rsidRPr="00E54037">
        <w:t>Scope of Policy</w:t>
      </w:r>
      <w:bookmarkEnd w:id="2"/>
    </w:p>
    <w:p w14:paraId="5CCF64C2" w14:textId="2E0304D3" w:rsidR="001E3A74" w:rsidRPr="00E54037" w:rsidRDefault="000C7FF0" w:rsidP="00982C26">
      <w:pPr>
        <w:shd w:val="clear" w:color="auto" w:fill="FFFFFF" w:themeFill="background1"/>
        <w:rPr>
          <w:rFonts w:ascii="Arial" w:hAnsi="Arial" w:cs="Arial"/>
          <w:sz w:val="22"/>
          <w:szCs w:val="22"/>
        </w:rPr>
      </w:pPr>
      <w:r w:rsidRPr="00E54037">
        <w:rPr>
          <w:rFonts w:ascii="Arial" w:hAnsi="Arial" w:cs="Arial"/>
          <w:sz w:val="22"/>
          <w:szCs w:val="22"/>
        </w:rPr>
        <w:t xml:space="preserve">The </w:t>
      </w:r>
      <w:r w:rsidR="001E3A74" w:rsidRPr="00E54037">
        <w:rPr>
          <w:rFonts w:ascii="Arial" w:hAnsi="Arial" w:cs="Arial"/>
          <w:sz w:val="22"/>
          <w:szCs w:val="22"/>
        </w:rPr>
        <w:t xml:space="preserve">policy applies to all </w:t>
      </w:r>
      <w:r w:rsidRPr="00E54037">
        <w:rPr>
          <w:rFonts w:ascii="Arial" w:hAnsi="Arial" w:cs="Arial"/>
          <w:sz w:val="22"/>
          <w:szCs w:val="22"/>
        </w:rPr>
        <w:t xml:space="preserve">St Basil’s </w:t>
      </w:r>
      <w:r w:rsidR="001E3A74" w:rsidRPr="00E54037">
        <w:rPr>
          <w:rFonts w:ascii="Arial" w:hAnsi="Arial" w:cs="Arial"/>
          <w:sz w:val="22"/>
          <w:szCs w:val="22"/>
        </w:rPr>
        <w:t>employees</w:t>
      </w:r>
      <w:r w:rsidR="00437233">
        <w:rPr>
          <w:rFonts w:ascii="Arial" w:hAnsi="Arial" w:cs="Arial"/>
          <w:sz w:val="22"/>
          <w:szCs w:val="22"/>
        </w:rPr>
        <w:t>, contractors, volunteers</w:t>
      </w:r>
      <w:r w:rsidR="00D07A97" w:rsidRPr="00E54037">
        <w:rPr>
          <w:rFonts w:ascii="Arial" w:hAnsi="Arial" w:cs="Arial"/>
          <w:sz w:val="22"/>
          <w:szCs w:val="22"/>
        </w:rPr>
        <w:t xml:space="preserve"> </w:t>
      </w:r>
      <w:r w:rsidRPr="00E54037">
        <w:rPr>
          <w:rFonts w:ascii="Arial" w:hAnsi="Arial" w:cs="Arial"/>
          <w:sz w:val="22"/>
          <w:szCs w:val="22"/>
        </w:rPr>
        <w:t xml:space="preserve">and </w:t>
      </w:r>
      <w:r w:rsidR="0067561C">
        <w:rPr>
          <w:rFonts w:ascii="Arial" w:hAnsi="Arial" w:cs="Arial"/>
          <w:sz w:val="22"/>
          <w:szCs w:val="22"/>
        </w:rPr>
        <w:t>Young People</w:t>
      </w:r>
      <w:r w:rsidRPr="00E54037">
        <w:rPr>
          <w:rFonts w:ascii="Arial" w:hAnsi="Arial" w:cs="Arial"/>
          <w:sz w:val="22"/>
          <w:szCs w:val="22"/>
        </w:rPr>
        <w:t xml:space="preserve">. </w:t>
      </w:r>
    </w:p>
    <w:p w14:paraId="5CCF64C3" w14:textId="77777777" w:rsidR="001E3A74" w:rsidRPr="00E54037" w:rsidRDefault="001E3A74" w:rsidP="00982C26">
      <w:pPr>
        <w:shd w:val="clear" w:color="auto" w:fill="FFFFFF" w:themeFill="background1"/>
        <w:rPr>
          <w:rFonts w:ascii="Arial" w:hAnsi="Arial" w:cs="Arial"/>
          <w:sz w:val="22"/>
          <w:szCs w:val="22"/>
        </w:rPr>
      </w:pPr>
    </w:p>
    <w:p w14:paraId="5CCF64C4" w14:textId="77777777" w:rsidR="001E3A74" w:rsidRPr="00E54037" w:rsidRDefault="001E3A74" w:rsidP="009249DC">
      <w:pPr>
        <w:pStyle w:val="Heading2"/>
      </w:pPr>
      <w:bookmarkStart w:id="3" w:name="_Toc160009548"/>
      <w:r w:rsidRPr="00E54037">
        <w:t>Definitions</w:t>
      </w:r>
      <w:bookmarkEnd w:id="3"/>
    </w:p>
    <w:p w14:paraId="119BDB46" w14:textId="19A51533" w:rsidR="00A341BB" w:rsidRDefault="00A341BB" w:rsidP="00A341BB">
      <w:pPr>
        <w:shd w:val="clear" w:color="auto" w:fill="FFFFFF" w:themeFill="background1"/>
        <w:rPr>
          <w:rFonts w:ascii="Arial" w:hAnsi="Arial" w:cs="Arial"/>
          <w:sz w:val="22"/>
          <w:szCs w:val="22"/>
        </w:rPr>
      </w:pPr>
      <w:r>
        <w:rPr>
          <w:rFonts w:ascii="Arial" w:hAnsi="Arial" w:cs="Arial"/>
          <w:sz w:val="22"/>
          <w:szCs w:val="22"/>
          <w:u w:val="single"/>
        </w:rPr>
        <w:t>Young People</w:t>
      </w:r>
      <w:r w:rsidRPr="004A13FA">
        <w:rPr>
          <w:rFonts w:ascii="Arial" w:hAnsi="Arial" w:cs="Arial"/>
          <w:sz w:val="22"/>
          <w:szCs w:val="22"/>
        </w:rPr>
        <w:t xml:space="preserve"> </w:t>
      </w:r>
      <w:r>
        <w:rPr>
          <w:rFonts w:ascii="Arial" w:hAnsi="Arial" w:cs="Arial"/>
          <w:sz w:val="22"/>
          <w:szCs w:val="22"/>
        </w:rPr>
        <w:t>–</w:t>
      </w:r>
      <w:r w:rsidRPr="004A13FA">
        <w:rPr>
          <w:rFonts w:ascii="Arial" w:hAnsi="Arial" w:cs="Arial"/>
          <w:sz w:val="22"/>
          <w:szCs w:val="22"/>
        </w:rPr>
        <w:t xml:space="preserve"> </w:t>
      </w:r>
      <w:r>
        <w:rPr>
          <w:rFonts w:ascii="Arial" w:hAnsi="Arial" w:cs="Arial"/>
          <w:sz w:val="22"/>
          <w:szCs w:val="22"/>
        </w:rPr>
        <w:t xml:space="preserve">tenants or </w:t>
      </w:r>
      <w:r w:rsidR="002C54EA">
        <w:rPr>
          <w:rFonts w:ascii="Arial" w:hAnsi="Arial" w:cs="Arial"/>
          <w:sz w:val="22"/>
          <w:szCs w:val="22"/>
        </w:rPr>
        <w:t>licensees</w:t>
      </w:r>
      <w:r>
        <w:rPr>
          <w:rFonts w:ascii="Arial" w:hAnsi="Arial" w:cs="Arial"/>
          <w:sz w:val="22"/>
          <w:szCs w:val="22"/>
        </w:rPr>
        <w:t xml:space="preserve"> living in properties where St Basil’s is the landlord or where St Basil’s manages the property on behalf of another organisation.</w:t>
      </w:r>
    </w:p>
    <w:p w14:paraId="2820E91E" w14:textId="77777777" w:rsidR="00A341BB" w:rsidRDefault="00A341BB" w:rsidP="00713A7E">
      <w:pPr>
        <w:shd w:val="clear" w:color="auto" w:fill="FFFFFF" w:themeFill="background1"/>
        <w:rPr>
          <w:rFonts w:ascii="Arial" w:hAnsi="Arial" w:cs="Arial"/>
          <w:sz w:val="22"/>
          <w:szCs w:val="22"/>
        </w:rPr>
      </w:pPr>
    </w:p>
    <w:p w14:paraId="5CCF64C9" w14:textId="77777777" w:rsidR="001E3A74" w:rsidRPr="00E54037" w:rsidRDefault="001E3A74" w:rsidP="009249DC">
      <w:pPr>
        <w:pStyle w:val="Heading2"/>
      </w:pPr>
      <w:bookmarkStart w:id="4" w:name="_Toc160009549"/>
      <w:r w:rsidRPr="00E54037">
        <w:t>Legislation and Guidance</w:t>
      </w:r>
      <w:bookmarkEnd w:id="4"/>
    </w:p>
    <w:p w14:paraId="5CCF64CA" w14:textId="0C7CE25F" w:rsidR="001E3A74" w:rsidRPr="00E54037" w:rsidRDefault="00E54037" w:rsidP="00982C26">
      <w:pPr>
        <w:shd w:val="clear" w:color="auto" w:fill="FFFFFF" w:themeFill="background1"/>
        <w:tabs>
          <w:tab w:val="left" w:pos="360"/>
          <w:tab w:val="left" w:pos="900"/>
        </w:tabs>
        <w:rPr>
          <w:rFonts w:ascii="Arial" w:hAnsi="Arial" w:cs="Arial"/>
          <w:b/>
          <w:sz w:val="22"/>
          <w:szCs w:val="22"/>
        </w:rPr>
      </w:pPr>
      <w:r w:rsidRPr="00E54037">
        <w:rPr>
          <w:rFonts w:ascii="Arial" w:hAnsi="Arial" w:cs="Arial"/>
          <w:b/>
          <w:sz w:val="22"/>
          <w:szCs w:val="22"/>
        </w:rPr>
        <w:t>The following legislation has been considered in the development of this policy</w:t>
      </w:r>
      <w:r w:rsidR="001E3A74" w:rsidRPr="00E54037">
        <w:rPr>
          <w:rFonts w:ascii="Arial" w:hAnsi="Arial" w:cs="Arial"/>
          <w:b/>
          <w:sz w:val="22"/>
          <w:szCs w:val="22"/>
        </w:rPr>
        <w:t>:</w:t>
      </w:r>
    </w:p>
    <w:p w14:paraId="7E9DA679" w14:textId="3EA02B43" w:rsidR="00E54037" w:rsidRDefault="0067561C" w:rsidP="00983603">
      <w:pPr>
        <w:pStyle w:val="ListParagraph"/>
        <w:numPr>
          <w:ilvl w:val="0"/>
          <w:numId w:val="3"/>
        </w:numPr>
        <w:shd w:val="clear" w:color="auto" w:fill="FFFFFF" w:themeFill="background1"/>
        <w:rPr>
          <w:rFonts w:ascii="Arial" w:hAnsi="Arial" w:cs="Arial"/>
          <w:bCs/>
          <w:sz w:val="22"/>
          <w:szCs w:val="22"/>
        </w:rPr>
      </w:pPr>
      <w:r w:rsidRPr="0067561C">
        <w:rPr>
          <w:rFonts w:ascii="Arial" w:hAnsi="Arial" w:cs="Arial"/>
          <w:bCs/>
          <w:sz w:val="22"/>
          <w:szCs w:val="22"/>
        </w:rPr>
        <w:t>Localism</w:t>
      </w:r>
      <w:r>
        <w:rPr>
          <w:rFonts w:ascii="Arial" w:hAnsi="Arial" w:cs="Arial"/>
          <w:bCs/>
          <w:sz w:val="22"/>
          <w:szCs w:val="22"/>
        </w:rPr>
        <w:t xml:space="preserve"> Act 2011</w:t>
      </w:r>
    </w:p>
    <w:p w14:paraId="561CABA5" w14:textId="28ECB327" w:rsidR="0067561C" w:rsidRDefault="0067561C" w:rsidP="00983603">
      <w:pPr>
        <w:pStyle w:val="ListParagraph"/>
        <w:numPr>
          <w:ilvl w:val="0"/>
          <w:numId w:val="3"/>
        </w:numPr>
        <w:shd w:val="clear" w:color="auto" w:fill="FFFFFF" w:themeFill="background1"/>
        <w:rPr>
          <w:rFonts w:ascii="Arial" w:hAnsi="Arial" w:cs="Arial"/>
          <w:bCs/>
          <w:sz w:val="22"/>
          <w:szCs w:val="22"/>
        </w:rPr>
      </w:pPr>
      <w:r>
        <w:rPr>
          <w:rFonts w:ascii="Arial" w:hAnsi="Arial" w:cs="Arial"/>
          <w:bCs/>
          <w:sz w:val="22"/>
          <w:szCs w:val="22"/>
        </w:rPr>
        <w:t>Housing Act 1985</w:t>
      </w:r>
      <w:r w:rsidR="003328B7">
        <w:rPr>
          <w:rFonts w:ascii="Arial" w:hAnsi="Arial" w:cs="Arial"/>
          <w:bCs/>
          <w:sz w:val="22"/>
          <w:szCs w:val="22"/>
        </w:rPr>
        <w:t>, 1988</w:t>
      </w:r>
    </w:p>
    <w:p w14:paraId="326F4281" w14:textId="77777777" w:rsidR="0067561C" w:rsidRPr="00E54037" w:rsidRDefault="0067561C" w:rsidP="0067561C">
      <w:pPr>
        <w:pStyle w:val="ListParagraph"/>
        <w:shd w:val="clear" w:color="auto" w:fill="FFFFFF" w:themeFill="background1"/>
        <w:rPr>
          <w:rFonts w:ascii="Arial" w:hAnsi="Arial" w:cs="Arial"/>
          <w:b/>
          <w:sz w:val="22"/>
          <w:szCs w:val="22"/>
        </w:rPr>
      </w:pPr>
    </w:p>
    <w:p w14:paraId="28843715" w14:textId="55F07FF7" w:rsidR="00E54037" w:rsidRDefault="00E54037" w:rsidP="00E54037">
      <w:pPr>
        <w:shd w:val="clear" w:color="auto" w:fill="FFFFFF" w:themeFill="background1"/>
        <w:rPr>
          <w:rFonts w:ascii="Arial" w:hAnsi="Arial" w:cs="Arial"/>
          <w:b/>
          <w:sz w:val="22"/>
          <w:szCs w:val="22"/>
        </w:rPr>
      </w:pPr>
      <w:r w:rsidRPr="00E54037">
        <w:rPr>
          <w:rFonts w:ascii="Arial" w:hAnsi="Arial" w:cs="Arial"/>
          <w:b/>
          <w:sz w:val="22"/>
          <w:szCs w:val="22"/>
        </w:rPr>
        <w:t>The follo</w:t>
      </w:r>
      <w:r>
        <w:rPr>
          <w:rFonts w:ascii="Arial" w:hAnsi="Arial" w:cs="Arial"/>
          <w:b/>
          <w:sz w:val="22"/>
          <w:szCs w:val="22"/>
        </w:rPr>
        <w:t>wing standards and guidance have been considered in the development of this policy:</w:t>
      </w:r>
    </w:p>
    <w:p w14:paraId="2C9907B8" w14:textId="7869EE5F" w:rsidR="00E54037" w:rsidRPr="00F81674" w:rsidRDefault="004A13FA" w:rsidP="00983603">
      <w:pPr>
        <w:pStyle w:val="ListParagraph"/>
        <w:numPr>
          <w:ilvl w:val="0"/>
          <w:numId w:val="4"/>
        </w:numPr>
        <w:shd w:val="clear" w:color="auto" w:fill="FFFFFF" w:themeFill="background1"/>
        <w:rPr>
          <w:rFonts w:ascii="Arial" w:hAnsi="Arial" w:cs="Arial"/>
          <w:b/>
          <w:sz w:val="22"/>
          <w:szCs w:val="22"/>
        </w:rPr>
      </w:pPr>
      <w:r>
        <w:rPr>
          <w:rFonts w:ascii="Arial" w:hAnsi="Arial" w:cs="Arial"/>
          <w:bCs/>
          <w:sz w:val="22"/>
          <w:szCs w:val="22"/>
        </w:rPr>
        <w:t>The Regulator of Social Housing’s (RSH) Consumer Standards</w:t>
      </w:r>
    </w:p>
    <w:p w14:paraId="360BB529" w14:textId="1471452B" w:rsidR="00F81674" w:rsidRPr="004A13FA" w:rsidRDefault="00F81674" w:rsidP="00983603">
      <w:pPr>
        <w:pStyle w:val="ListParagraph"/>
        <w:numPr>
          <w:ilvl w:val="0"/>
          <w:numId w:val="4"/>
        </w:numPr>
        <w:shd w:val="clear" w:color="auto" w:fill="FFFFFF" w:themeFill="background1"/>
        <w:rPr>
          <w:rFonts w:ascii="Arial" w:hAnsi="Arial" w:cs="Arial"/>
          <w:b/>
          <w:sz w:val="22"/>
          <w:szCs w:val="22"/>
        </w:rPr>
      </w:pPr>
      <w:r>
        <w:rPr>
          <w:rFonts w:ascii="Arial" w:hAnsi="Arial" w:cs="Arial"/>
          <w:bCs/>
          <w:sz w:val="22"/>
          <w:szCs w:val="22"/>
        </w:rPr>
        <w:t>The RSH’s Tenancy Standard</w:t>
      </w:r>
    </w:p>
    <w:p w14:paraId="0E442DBC" w14:textId="77777777" w:rsidR="00E54037" w:rsidRDefault="00E54037" w:rsidP="00E54037">
      <w:pPr>
        <w:shd w:val="clear" w:color="auto" w:fill="FFFFFF" w:themeFill="background1"/>
        <w:rPr>
          <w:rFonts w:ascii="Arial" w:hAnsi="Arial" w:cs="Arial"/>
          <w:b/>
          <w:sz w:val="22"/>
          <w:szCs w:val="22"/>
        </w:rPr>
      </w:pPr>
    </w:p>
    <w:p w14:paraId="17C1D584" w14:textId="3F5A412E" w:rsidR="003D2521" w:rsidRPr="00E54037" w:rsidRDefault="003D2521" w:rsidP="009249DC">
      <w:pPr>
        <w:pStyle w:val="Heading2"/>
      </w:pPr>
      <w:bookmarkStart w:id="5" w:name="_Toc160009550"/>
      <w:r w:rsidRPr="00E54037">
        <w:t>Equality, Diversity &amp; Inclusion</w:t>
      </w:r>
      <w:bookmarkEnd w:id="5"/>
    </w:p>
    <w:p w14:paraId="5CCF64E1" w14:textId="0D40ACA3" w:rsidR="001E3A74" w:rsidRPr="00E54037" w:rsidRDefault="003D2521" w:rsidP="00982C26">
      <w:pPr>
        <w:shd w:val="clear" w:color="auto" w:fill="FFFFFF" w:themeFill="background1"/>
        <w:rPr>
          <w:rFonts w:ascii="Arial" w:hAnsi="Arial" w:cs="Arial"/>
          <w:sz w:val="22"/>
          <w:szCs w:val="22"/>
        </w:rPr>
      </w:pPr>
      <w:r w:rsidRPr="00E54037">
        <w:rPr>
          <w:rFonts w:ascii="Arial" w:hAnsi="Arial" w:cs="Arial"/>
          <w:sz w:val="22"/>
          <w:szCs w:val="22"/>
        </w:rPr>
        <w:t xml:space="preserve">St Basil’s treats all </w:t>
      </w:r>
      <w:r w:rsidR="0060502A">
        <w:rPr>
          <w:rFonts w:ascii="Arial" w:hAnsi="Arial" w:cs="Arial"/>
          <w:sz w:val="22"/>
          <w:szCs w:val="22"/>
        </w:rPr>
        <w:t>Young People</w:t>
      </w:r>
      <w:r w:rsidRPr="00E54037">
        <w:rPr>
          <w:rFonts w:ascii="Arial" w:hAnsi="Arial" w:cs="Arial"/>
          <w:sz w:val="22"/>
          <w:szCs w:val="22"/>
        </w:rPr>
        <w:t xml:space="preserve"> in a fair and non-discriminatory way in accordance with its Equality, Diversity and Inclusion </w:t>
      </w:r>
      <w:r w:rsidR="00D07A97" w:rsidRPr="00E54037">
        <w:rPr>
          <w:rFonts w:ascii="Arial" w:hAnsi="Arial" w:cs="Arial"/>
          <w:sz w:val="22"/>
          <w:szCs w:val="22"/>
        </w:rPr>
        <w:t>P</w:t>
      </w:r>
      <w:r w:rsidRPr="00E54037">
        <w:rPr>
          <w:rFonts w:ascii="Arial" w:hAnsi="Arial" w:cs="Arial"/>
          <w:sz w:val="22"/>
          <w:szCs w:val="22"/>
        </w:rPr>
        <w:t xml:space="preserve">olicy. </w:t>
      </w:r>
      <w:r w:rsidR="00A90CFE">
        <w:rPr>
          <w:rFonts w:ascii="Arial" w:hAnsi="Arial" w:cs="Arial"/>
          <w:sz w:val="22"/>
          <w:szCs w:val="22"/>
        </w:rPr>
        <w:t>St Basil’s aims to ensure that its policies and procedures do not create an unfair disadvantage for anyone</w:t>
      </w:r>
      <w:r w:rsidR="0060502A">
        <w:rPr>
          <w:rFonts w:ascii="Arial" w:hAnsi="Arial" w:cs="Arial"/>
          <w:sz w:val="22"/>
          <w:szCs w:val="22"/>
        </w:rPr>
        <w:t xml:space="preserve"> and has carried out an internal Equalities Impact Assessment for this policy</w:t>
      </w:r>
      <w:r w:rsidR="00A90CFE">
        <w:rPr>
          <w:rFonts w:ascii="Arial" w:hAnsi="Arial" w:cs="Arial"/>
          <w:sz w:val="22"/>
          <w:szCs w:val="22"/>
        </w:rPr>
        <w:t>.</w:t>
      </w:r>
    </w:p>
    <w:p w14:paraId="24B5577B" w14:textId="77777777" w:rsidR="005940EF" w:rsidRPr="00E54037" w:rsidRDefault="005940EF" w:rsidP="00982C26">
      <w:pPr>
        <w:shd w:val="clear" w:color="auto" w:fill="FFFFFF" w:themeFill="background1"/>
        <w:rPr>
          <w:rFonts w:ascii="Arial" w:hAnsi="Arial" w:cs="Arial"/>
          <w:sz w:val="22"/>
          <w:szCs w:val="22"/>
        </w:rPr>
      </w:pPr>
    </w:p>
    <w:p w14:paraId="5CCF64E3" w14:textId="77777777" w:rsidR="001E3A74" w:rsidRPr="00E54037" w:rsidRDefault="001E3A74" w:rsidP="009249DC">
      <w:pPr>
        <w:pStyle w:val="Heading2"/>
      </w:pPr>
      <w:bookmarkStart w:id="6" w:name="BM4_3"/>
      <w:bookmarkStart w:id="7" w:name="_Toc160009551"/>
      <w:bookmarkEnd w:id="6"/>
      <w:r w:rsidRPr="00E54037">
        <w:t>Roles and Responsibilities</w:t>
      </w:r>
      <w:bookmarkEnd w:id="7"/>
    </w:p>
    <w:p w14:paraId="5CCF64E4" w14:textId="77777777" w:rsidR="001E3A74" w:rsidRPr="00E54037" w:rsidRDefault="001E3A74" w:rsidP="00982C26">
      <w:pPr>
        <w:shd w:val="clear" w:color="auto" w:fill="FFFFFF" w:themeFill="background1"/>
        <w:rPr>
          <w:rFonts w:ascii="Arial" w:hAnsi="Arial" w:cs="Arial"/>
          <w:sz w:val="22"/>
          <w:szCs w:val="22"/>
          <w:lang w:eastAsia="en-GB"/>
        </w:rPr>
      </w:pPr>
      <w:r w:rsidRPr="00E54037">
        <w:rPr>
          <w:rFonts w:ascii="Arial" w:hAnsi="Arial" w:cs="Arial"/>
          <w:sz w:val="22"/>
          <w:szCs w:val="22"/>
          <w:lang w:eastAsia="en-GB"/>
        </w:rPr>
        <w:t xml:space="preserve">Managers will ensure this policy is promoted, </w:t>
      </w:r>
      <w:proofErr w:type="gramStart"/>
      <w:r w:rsidRPr="00E54037">
        <w:rPr>
          <w:rFonts w:ascii="Arial" w:hAnsi="Arial" w:cs="Arial"/>
          <w:sz w:val="22"/>
          <w:szCs w:val="22"/>
          <w:lang w:eastAsia="en-GB"/>
        </w:rPr>
        <w:t>understood</w:t>
      </w:r>
      <w:proofErr w:type="gramEnd"/>
      <w:r w:rsidRPr="00E54037">
        <w:rPr>
          <w:rFonts w:ascii="Arial" w:hAnsi="Arial" w:cs="Arial"/>
          <w:sz w:val="22"/>
          <w:szCs w:val="22"/>
          <w:lang w:eastAsia="en-GB"/>
        </w:rPr>
        <w:t xml:space="preserve"> and implemented by all relevant employees ensuring consideration is given to any implications arising from policy decisions.</w:t>
      </w:r>
    </w:p>
    <w:p w14:paraId="5CCF64E5" w14:textId="77777777" w:rsidR="001E3A74" w:rsidRPr="00E54037" w:rsidRDefault="001E3A74" w:rsidP="00982C26">
      <w:pPr>
        <w:shd w:val="clear" w:color="auto" w:fill="FFFFFF" w:themeFill="background1"/>
        <w:rPr>
          <w:rFonts w:ascii="Arial" w:hAnsi="Arial" w:cs="Arial"/>
          <w:b/>
          <w:bCs/>
          <w:sz w:val="22"/>
          <w:szCs w:val="22"/>
        </w:rPr>
      </w:pPr>
    </w:p>
    <w:p w14:paraId="5CCF64E9" w14:textId="77777777" w:rsidR="001E3A74" w:rsidRPr="00E54037" w:rsidRDefault="001E3A74" w:rsidP="009249DC">
      <w:pPr>
        <w:pStyle w:val="Heading2"/>
      </w:pPr>
      <w:bookmarkStart w:id="8" w:name="_Toc160009552"/>
      <w:r w:rsidRPr="00E54037">
        <w:t>Communication</w:t>
      </w:r>
      <w:bookmarkEnd w:id="8"/>
    </w:p>
    <w:p w14:paraId="1FDB41E5" w14:textId="64446EDD" w:rsidR="002B6263" w:rsidRPr="00E54037" w:rsidRDefault="002B6263" w:rsidP="00982C26">
      <w:pPr>
        <w:shd w:val="clear" w:color="auto" w:fill="FFFFFF" w:themeFill="background1"/>
        <w:rPr>
          <w:rFonts w:ascii="Arial" w:hAnsi="Arial" w:cs="Arial"/>
          <w:sz w:val="22"/>
          <w:szCs w:val="22"/>
        </w:rPr>
      </w:pPr>
      <w:r w:rsidRPr="00E54037">
        <w:rPr>
          <w:rFonts w:ascii="Arial" w:hAnsi="Arial" w:cs="Arial"/>
          <w:sz w:val="22"/>
          <w:szCs w:val="22"/>
          <w:lang w:eastAsia="en-GB"/>
        </w:rPr>
        <w:t>The policy will be communicated to all St Basil’s employees via its intranet platform – Workplace. The policy will be produced in other formats to aid accessibility if required.</w:t>
      </w:r>
    </w:p>
    <w:p w14:paraId="5CCF64EB" w14:textId="77777777" w:rsidR="001E3A74" w:rsidRPr="00E54037" w:rsidRDefault="001E3A74" w:rsidP="00982C26">
      <w:pPr>
        <w:shd w:val="clear" w:color="auto" w:fill="FFFFFF" w:themeFill="background1"/>
        <w:rPr>
          <w:rFonts w:ascii="Arial" w:hAnsi="Arial" w:cs="Arial"/>
          <w:b/>
          <w:bCs/>
          <w:sz w:val="22"/>
          <w:szCs w:val="22"/>
        </w:rPr>
      </w:pPr>
    </w:p>
    <w:p w14:paraId="5CCF64EC" w14:textId="77777777" w:rsidR="001E3A74" w:rsidRPr="00E54037" w:rsidRDefault="001E3A74" w:rsidP="009249DC">
      <w:pPr>
        <w:pStyle w:val="Heading2"/>
      </w:pPr>
      <w:bookmarkStart w:id="9" w:name="_Toc160009553"/>
      <w:r w:rsidRPr="00E54037">
        <w:t>Responsibility</w:t>
      </w:r>
      <w:bookmarkEnd w:id="9"/>
    </w:p>
    <w:p w14:paraId="5CCF64ED" w14:textId="6494DA68" w:rsidR="001E3A74" w:rsidRPr="00E54037" w:rsidRDefault="001E3A74" w:rsidP="00982C26">
      <w:pPr>
        <w:shd w:val="clear" w:color="auto" w:fill="FFFFFF" w:themeFill="background1"/>
        <w:rPr>
          <w:rFonts w:ascii="Arial" w:hAnsi="Arial" w:cs="Arial"/>
          <w:sz w:val="22"/>
          <w:szCs w:val="22"/>
        </w:rPr>
      </w:pPr>
      <w:r w:rsidRPr="00E54037">
        <w:rPr>
          <w:rFonts w:ascii="Arial" w:hAnsi="Arial" w:cs="Arial"/>
          <w:sz w:val="22"/>
          <w:szCs w:val="22"/>
          <w:lang w:eastAsia="en-GB"/>
        </w:rPr>
        <w:t xml:space="preserve">The </w:t>
      </w:r>
      <w:r w:rsidR="002B6263" w:rsidRPr="00E54037">
        <w:rPr>
          <w:rFonts w:ascii="Arial" w:hAnsi="Arial" w:cs="Arial"/>
          <w:sz w:val="22"/>
          <w:szCs w:val="22"/>
          <w:lang w:eastAsia="en-GB"/>
        </w:rPr>
        <w:t>Director of Housing</w:t>
      </w:r>
      <w:r w:rsidRPr="00E54037">
        <w:rPr>
          <w:rFonts w:ascii="Arial" w:hAnsi="Arial" w:cs="Arial"/>
          <w:sz w:val="22"/>
          <w:szCs w:val="22"/>
          <w:lang w:eastAsia="en-GB"/>
        </w:rPr>
        <w:t xml:space="preserve"> is responsible for ensuring this policy is implemented and monitored.</w:t>
      </w:r>
      <w:r w:rsidR="008B5D68">
        <w:rPr>
          <w:rFonts w:ascii="Arial" w:hAnsi="Arial" w:cs="Arial"/>
          <w:sz w:val="22"/>
          <w:szCs w:val="22"/>
          <w:lang w:eastAsia="en-GB"/>
        </w:rPr>
        <w:t xml:space="preserve"> </w:t>
      </w:r>
    </w:p>
    <w:p w14:paraId="5CCF64EE" w14:textId="77777777" w:rsidR="001E3A74" w:rsidRPr="00E54037" w:rsidRDefault="001E3A74" w:rsidP="00982C26">
      <w:pPr>
        <w:shd w:val="clear" w:color="auto" w:fill="FFFFFF" w:themeFill="background1"/>
        <w:rPr>
          <w:rFonts w:ascii="Arial" w:hAnsi="Arial" w:cs="Arial"/>
          <w:sz w:val="22"/>
          <w:szCs w:val="22"/>
        </w:rPr>
      </w:pPr>
    </w:p>
    <w:p w14:paraId="5CCF64EF" w14:textId="77777777" w:rsidR="001E3A74" w:rsidRPr="00E54037" w:rsidRDefault="001E3A74" w:rsidP="009249DC">
      <w:pPr>
        <w:pStyle w:val="Heading2"/>
      </w:pPr>
      <w:bookmarkStart w:id="10" w:name="_Toc160009554"/>
      <w:r w:rsidRPr="00E54037">
        <w:t>Continuous Renewal Clause</w:t>
      </w:r>
      <w:bookmarkEnd w:id="10"/>
      <w:r w:rsidRPr="00E54037">
        <w:rPr>
          <w:lang w:eastAsia="en-GB"/>
        </w:rPr>
        <w:t xml:space="preserve"> </w:t>
      </w:r>
    </w:p>
    <w:p w14:paraId="5CCF64F0" w14:textId="5FA27CF2" w:rsidR="001E3A74" w:rsidRPr="00E54037" w:rsidRDefault="002B6263" w:rsidP="00982C26">
      <w:pPr>
        <w:shd w:val="clear" w:color="auto" w:fill="FFFFFF" w:themeFill="background1"/>
        <w:rPr>
          <w:rFonts w:ascii="Arial" w:hAnsi="Arial" w:cs="Arial"/>
          <w:sz w:val="22"/>
          <w:szCs w:val="22"/>
        </w:rPr>
      </w:pPr>
      <w:r w:rsidRPr="00E54037">
        <w:rPr>
          <w:rFonts w:ascii="Arial" w:hAnsi="Arial" w:cs="Arial"/>
          <w:sz w:val="22"/>
          <w:szCs w:val="22"/>
          <w:lang w:eastAsia="en-GB"/>
        </w:rPr>
        <w:t>The policy and procedure</w:t>
      </w:r>
      <w:r w:rsidR="001E3A74" w:rsidRPr="00E54037">
        <w:rPr>
          <w:rFonts w:ascii="Arial" w:hAnsi="Arial" w:cs="Arial"/>
          <w:sz w:val="22"/>
          <w:szCs w:val="22"/>
          <w:lang w:eastAsia="en-GB"/>
        </w:rPr>
        <w:t xml:space="preserve"> will be reviewed every 3 years to ensure it</w:t>
      </w:r>
      <w:r w:rsidRPr="00E54037">
        <w:rPr>
          <w:rFonts w:ascii="Arial" w:hAnsi="Arial" w:cs="Arial"/>
          <w:sz w:val="22"/>
          <w:szCs w:val="22"/>
          <w:lang w:eastAsia="en-GB"/>
        </w:rPr>
        <w:t xml:space="preserve"> remains compliant with relevant legislation,</w:t>
      </w:r>
      <w:r w:rsidR="000662B0" w:rsidRPr="00E54037">
        <w:rPr>
          <w:rFonts w:ascii="Arial" w:hAnsi="Arial" w:cs="Arial"/>
          <w:sz w:val="22"/>
          <w:szCs w:val="22"/>
          <w:lang w:eastAsia="en-GB"/>
        </w:rPr>
        <w:t xml:space="preserve"> </w:t>
      </w:r>
      <w:r w:rsidRPr="00E54037">
        <w:rPr>
          <w:rFonts w:ascii="Arial" w:hAnsi="Arial" w:cs="Arial"/>
          <w:sz w:val="22"/>
          <w:szCs w:val="22"/>
          <w:lang w:eastAsia="en-GB"/>
        </w:rPr>
        <w:t>current best practice</w:t>
      </w:r>
      <w:r w:rsidR="001E3A74" w:rsidRPr="00E54037">
        <w:rPr>
          <w:rFonts w:ascii="Arial" w:hAnsi="Arial" w:cs="Arial"/>
          <w:sz w:val="22"/>
          <w:szCs w:val="22"/>
          <w:lang w:eastAsia="en-GB"/>
        </w:rPr>
        <w:t xml:space="preserve">, and statutory frameworks. </w:t>
      </w:r>
      <w:r w:rsidRPr="00E54037">
        <w:rPr>
          <w:rFonts w:ascii="Arial" w:hAnsi="Arial" w:cs="Arial"/>
          <w:sz w:val="22"/>
          <w:szCs w:val="22"/>
          <w:lang w:eastAsia="en-GB"/>
        </w:rPr>
        <w:t>If required, the policy and procedure will be reviewed more frequently in the event:</w:t>
      </w:r>
    </w:p>
    <w:p w14:paraId="5CCF64F1" w14:textId="7E3310F3" w:rsidR="001E3A74" w:rsidRPr="00E54037"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 xml:space="preserve">it becomes </w:t>
      </w:r>
      <w:proofErr w:type="gramStart"/>
      <w:r w:rsidRPr="00E54037">
        <w:rPr>
          <w:rFonts w:ascii="Arial" w:hAnsi="Arial" w:cs="Arial"/>
          <w:sz w:val="22"/>
          <w:szCs w:val="22"/>
          <w:lang w:eastAsia="en-GB"/>
        </w:rPr>
        <w:t>ineffective</w:t>
      </w:r>
      <w:proofErr w:type="gramEnd"/>
    </w:p>
    <w:p w14:paraId="5CCF64F2" w14:textId="081E2534" w:rsidR="001E3A74" w:rsidRPr="00E54037"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there are</w:t>
      </w:r>
      <w:r w:rsidR="001E3A74" w:rsidRPr="00E54037">
        <w:rPr>
          <w:rFonts w:ascii="Arial" w:hAnsi="Arial" w:cs="Arial"/>
          <w:sz w:val="22"/>
          <w:szCs w:val="22"/>
          <w:lang w:eastAsia="en-GB"/>
        </w:rPr>
        <w:t xml:space="preserve"> substantial changes in </w:t>
      </w:r>
      <w:proofErr w:type="gramStart"/>
      <w:r w:rsidR="001E3A74" w:rsidRPr="00E54037">
        <w:rPr>
          <w:rFonts w:ascii="Arial" w:hAnsi="Arial" w:cs="Arial"/>
          <w:sz w:val="22"/>
          <w:szCs w:val="22"/>
          <w:lang w:eastAsia="en-GB"/>
        </w:rPr>
        <w:t>practice</w:t>
      </w:r>
      <w:proofErr w:type="gramEnd"/>
      <w:r w:rsidRPr="00E54037">
        <w:rPr>
          <w:rFonts w:ascii="Arial" w:hAnsi="Arial" w:cs="Arial"/>
          <w:sz w:val="22"/>
          <w:szCs w:val="22"/>
          <w:lang w:eastAsia="en-GB"/>
        </w:rPr>
        <w:t xml:space="preserve"> </w:t>
      </w:r>
    </w:p>
    <w:p w14:paraId="5CCF64F3" w14:textId="0785F72A" w:rsidR="001E3A74" w:rsidRPr="00E54037" w:rsidRDefault="002B6263"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 xml:space="preserve">recommendations are made by our </w:t>
      </w:r>
      <w:proofErr w:type="gramStart"/>
      <w:r w:rsidRPr="00E54037">
        <w:rPr>
          <w:rFonts w:ascii="Arial" w:hAnsi="Arial" w:cs="Arial"/>
          <w:sz w:val="22"/>
          <w:szCs w:val="22"/>
          <w:lang w:eastAsia="en-GB"/>
        </w:rPr>
        <w:t>auditors</w:t>
      </w:r>
      <w:proofErr w:type="gramEnd"/>
    </w:p>
    <w:p w14:paraId="5CCF64F4" w14:textId="3967AD5F" w:rsidR="001E3A74" w:rsidRPr="00E54037" w:rsidRDefault="001E3A74" w:rsidP="00982C26">
      <w:pPr>
        <w:pStyle w:val="ListParagraph"/>
        <w:numPr>
          <w:ilvl w:val="0"/>
          <w:numId w:val="2"/>
        </w:numPr>
        <w:shd w:val="clear" w:color="auto" w:fill="FFFFFF" w:themeFill="background1"/>
        <w:overflowPunct/>
        <w:autoSpaceDE/>
        <w:autoSpaceDN/>
        <w:adjustRightInd/>
        <w:spacing w:before="100" w:beforeAutospacing="1" w:after="100" w:afterAutospacing="1"/>
        <w:rPr>
          <w:rFonts w:ascii="Arial" w:hAnsi="Arial" w:cs="Arial"/>
          <w:sz w:val="22"/>
          <w:szCs w:val="22"/>
          <w:lang w:eastAsia="en-GB"/>
        </w:rPr>
      </w:pPr>
      <w:r w:rsidRPr="00E54037">
        <w:rPr>
          <w:rFonts w:ascii="Arial" w:hAnsi="Arial" w:cs="Arial"/>
          <w:sz w:val="22"/>
          <w:szCs w:val="22"/>
          <w:lang w:eastAsia="en-GB"/>
        </w:rPr>
        <w:t>changes</w:t>
      </w:r>
      <w:r w:rsidR="00D07A97" w:rsidRPr="00E54037">
        <w:rPr>
          <w:rFonts w:ascii="Arial" w:hAnsi="Arial" w:cs="Arial"/>
          <w:sz w:val="22"/>
          <w:szCs w:val="22"/>
          <w:lang w:eastAsia="en-GB"/>
        </w:rPr>
        <w:t xml:space="preserve"> are</w:t>
      </w:r>
      <w:r w:rsidRPr="00E54037">
        <w:rPr>
          <w:rFonts w:ascii="Arial" w:hAnsi="Arial" w:cs="Arial"/>
          <w:sz w:val="22"/>
          <w:szCs w:val="22"/>
          <w:lang w:eastAsia="en-GB"/>
        </w:rPr>
        <w:t xml:space="preserve"> required by </w:t>
      </w:r>
      <w:proofErr w:type="gramStart"/>
      <w:r w:rsidRPr="00E54037">
        <w:rPr>
          <w:rFonts w:ascii="Arial" w:hAnsi="Arial" w:cs="Arial"/>
          <w:sz w:val="22"/>
          <w:szCs w:val="22"/>
          <w:lang w:eastAsia="en-GB"/>
        </w:rPr>
        <w:t>law</w:t>
      </w:r>
      <w:proofErr w:type="gramEnd"/>
    </w:p>
    <w:p w14:paraId="5CCF64F6" w14:textId="77777777" w:rsidR="001E3A74" w:rsidRPr="00E54037" w:rsidRDefault="001E3A74" w:rsidP="009249DC">
      <w:pPr>
        <w:pStyle w:val="Heading2"/>
      </w:pPr>
      <w:bookmarkStart w:id="11" w:name="_Toc160009555"/>
      <w:r w:rsidRPr="00E54037">
        <w:t>Disclaimer</w:t>
      </w:r>
      <w:bookmarkEnd w:id="11"/>
    </w:p>
    <w:p w14:paraId="5CCF64F7" w14:textId="77A038E3" w:rsidR="001E3A74" w:rsidRPr="00E54037" w:rsidRDefault="001E3A74" w:rsidP="00982C26">
      <w:pPr>
        <w:shd w:val="clear" w:color="auto" w:fill="FFFFFF" w:themeFill="background1"/>
        <w:rPr>
          <w:rFonts w:ascii="Arial" w:hAnsi="Arial" w:cs="Arial"/>
          <w:sz w:val="22"/>
          <w:szCs w:val="22"/>
        </w:rPr>
      </w:pPr>
      <w:r w:rsidRPr="00E54037">
        <w:rPr>
          <w:rFonts w:ascii="Arial" w:hAnsi="Arial" w:cs="Arial"/>
          <w:color w:val="000000"/>
          <w:sz w:val="22"/>
          <w:szCs w:val="22"/>
        </w:rPr>
        <w:t xml:space="preserve">This document can only be considered valid when viewed on the </w:t>
      </w:r>
      <w:r w:rsidR="00E56B35" w:rsidRPr="00E54037">
        <w:rPr>
          <w:rFonts w:ascii="Arial" w:hAnsi="Arial" w:cs="Arial"/>
          <w:color w:val="000000"/>
          <w:sz w:val="22"/>
          <w:szCs w:val="22"/>
        </w:rPr>
        <w:t>St Basil’s</w:t>
      </w:r>
      <w:r w:rsidRPr="00E54037">
        <w:rPr>
          <w:rFonts w:ascii="Arial" w:hAnsi="Arial" w:cs="Arial"/>
          <w:color w:val="000000"/>
          <w:sz w:val="22"/>
          <w:szCs w:val="22"/>
        </w:rPr>
        <w:t xml:space="preserve"> intranet/Shared Drive. If this document has been printed or saved to another location, you must check that the version number on your </w:t>
      </w:r>
      <w:r w:rsidRPr="00E54037">
        <w:rPr>
          <w:rFonts w:ascii="Arial" w:hAnsi="Arial" w:cs="Arial"/>
          <w:color w:val="000000"/>
          <w:sz w:val="22"/>
          <w:szCs w:val="22"/>
        </w:rPr>
        <w:lastRenderedPageBreak/>
        <w:t>copy matches that of the document online.</w:t>
      </w:r>
      <w:r w:rsidRPr="00E54037">
        <w:rPr>
          <w:rFonts w:ascii="Arial" w:hAnsi="Arial" w:cs="Arial"/>
          <w:sz w:val="22"/>
          <w:szCs w:val="22"/>
        </w:rPr>
        <w:t xml:space="preserve"> Hard copies of this document are considered uncontrolled - please refer to the </w:t>
      </w:r>
      <w:r w:rsidR="00E56B35" w:rsidRPr="00E54037">
        <w:rPr>
          <w:rFonts w:ascii="Arial" w:hAnsi="Arial" w:cs="Arial"/>
          <w:sz w:val="22"/>
          <w:szCs w:val="22"/>
        </w:rPr>
        <w:t>St Basil’s</w:t>
      </w:r>
      <w:r w:rsidRPr="00E54037">
        <w:rPr>
          <w:rFonts w:ascii="Arial" w:hAnsi="Arial" w:cs="Arial"/>
          <w:sz w:val="22"/>
          <w:szCs w:val="22"/>
        </w:rPr>
        <w:t xml:space="preserve"> Intranet for latest version.</w:t>
      </w:r>
    </w:p>
    <w:p w14:paraId="5CCF64F8" w14:textId="77777777" w:rsidR="001E3A74" w:rsidRDefault="001E3A74" w:rsidP="00982C26">
      <w:pPr>
        <w:shd w:val="clear" w:color="auto" w:fill="FFFFFF" w:themeFill="background1"/>
        <w:rPr>
          <w:rFonts w:ascii="Arial" w:hAnsi="Arial" w:cs="Arial"/>
          <w:sz w:val="22"/>
          <w:szCs w:val="22"/>
        </w:rPr>
      </w:pPr>
    </w:p>
    <w:p w14:paraId="7351E3C1" w14:textId="77777777" w:rsidR="002D1B10" w:rsidRDefault="002D1B10" w:rsidP="00982C26">
      <w:pPr>
        <w:shd w:val="clear" w:color="auto" w:fill="FFFFFF" w:themeFill="background1"/>
        <w:rPr>
          <w:rFonts w:ascii="Arial" w:hAnsi="Arial" w:cs="Arial"/>
          <w:sz w:val="22"/>
          <w:szCs w:val="22"/>
        </w:rPr>
      </w:pPr>
    </w:p>
    <w:p w14:paraId="5A9CE958" w14:textId="3E655297" w:rsidR="009249DC" w:rsidRDefault="009249DC">
      <w:pPr>
        <w:overflowPunct/>
        <w:autoSpaceDE/>
        <w:autoSpaceDN/>
        <w:adjustRightInd/>
        <w:spacing w:after="160" w:line="259" w:lineRule="auto"/>
        <w:rPr>
          <w:rFonts w:ascii="Arial" w:hAnsi="Arial" w:cs="Arial"/>
          <w:sz w:val="22"/>
          <w:szCs w:val="22"/>
        </w:rPr>
      </w:pPr>
      <w:r>
        <w:rPr>
          <w:rFonts w:ascii="Arial" w:hAnsi="Arial" w:cs="Arial"/>
          <w:sz w:val="22"/>
          <w:szCs w:val="22"/>
        </w:rPr>
        <w:br w:type="page"/>
      </w:r>
    </w:p>
    <w:p w14:paraId="29B8C514" w14:textId="232536DF" w:rsidR="009249DC" w:rsidRDefault="009249DC" w:rsidP="009249DC">
      <w:pPr>
        <w:pStyle w:val="Heading1"/>
      </w:pPr>
      <w:bookmarkStart w:id="12" w:name="_Toc160009556"/>
      <w:r>
        <w:lastRenderedPageBreak/>
        <w:t>MUTUAL EXCHANGE PROCEDURE</w:t>
      </w:r>
      <w:bookmarkEnd w:id="12"/>
    </w:p>
    <w:p w14:paraId="67AC84FC" w14:textId="77777777" w:rsidR="009249DC" w:rsidRDefault="009249DC" w:rsidP="009249DC">
      <w:pPr>
        <w:overflowPunct/>
        <w:autoSpaceDE/>
        <w:autoSpaceDN/>
        <w:adjustRightInd/>
        <w:spacing w:after="160" w:line="259" w:lineRule="auto"/>
        <w:rPr>
          <w:rFonts w:ascii="Arial" w:hAnsi="Arial" w:cs="Arial"/>
          <w:sz w:val="22"/>
          <w:szCs w:val="22"/>
        </w:rPr>
      </w:pPr>
    </w:p>
    <w:p w14:paraId="4B41E790" w14:textId="75FA9CD3" w:rsidR="00277355" w:rsidRDefault="00277355" w:rsidP="009249DC">
      <w:pPr>
        <w:pStyle w:val="Heading3"/>
        <w:numPr>
          <w:ilvl w:val="0"/>
          <w:numId w:val="5"/>
        </w:numPr>
      </w:pPr>
      <w:bookmarkStart w:id="13" w:name="_Toc160009557"/>
      <w:r>
        <w:t>Types of Tenancy/Licence</w:t>
      </w:r>
      <w:bookmarkEnd w:id="13"/>
    </w:p>
    <w:p w14:paraId="372D53F1" w14:textId="78CC5BCC"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Secure Tenancy</w:t>
      </w:r>
    </w:p>
    <w:p w14:paraId="06EF7CFD" w14:textId="5DE3D5B0" w:rsidR="00983603" w:rsidRDefault="00983603" w:rsidP="00983603">
      <w:pPr>
        <w:pStyle w:val="ListParagraph"/>
        <w:numPr>
          <w:ilvl w:val="0"/>
          <w:numId w:val="13"/>
        </w:numPr>
        <w:shd w:val="clear" w:color="auto" w:fill="FFFFFF" w:themeFill="background1"/>
        <w:rPr>
          <w:rFonts w:ascii="Arial" w:hAnsi="Arial" w:cs="Arial"/>
          <w:sz w:val="22"/>
          <w:szCs w:val="22"/>
        </w:rPr>
      </w:pPr>
      <w:r>
        <w:rPr>
          <w:rFonts w:ascii="Arial" w:hAnsi="Arial" w:cs="Arial"/>
          <w:sz w:val="22"/>
          <w:szCs w:val="22"/>
        </w:rPr>
        <w:t>A lifetime tenancy, subject to adhering to the terms of the tenancy agreement, usually offered by Local Authorities and Housing Associations before January 15</w:t>
      </w:r>
      <w:r w:rsidRPr="00983603">
        <w:rPr>
          <w:rFonts w:ascii="Arial" w:hAnsi="Arial" w:cs="Arial"/>
          <w:sz w:val="22"/>
          <w:szCs w:val="22"/>
          <w:vertAlign w:val="superscript"/>
        </w:rPr>
        <w:t>th</w:t>
      </w:r>
      <w:r w:rsidR="001C162A">
        <w:rPr>
          <w:rFonts w:ascii="Arial" w:hAnsi="Arial" w:cs="Arial"/>
          <w:sz w:val="22"/>
          <w:szCs w:val="22"/>
        </w:rPr>
        <w:t>, 1989</w:t>
      </w:r>
      <w:r>
        <w:rPr>
          <w:rFonts w:ascii="Arial" w:hAnsi="Arial" w:cs="Arial"/>
          <w:sz w:val="22"/>
          <w:szCs w:val="22"/>
        </w:rPr>
        <w:t>.</w:t>
      </w:r>
    </w:p>
    <w:p w14:paraId="7C912458" w14:textId="77777777" w:rsidR="00983603" w:rsidRDefault="00983603" w:rsidP="00983603">
      <w:pPr>
        <w:pStyle w:val="ListParagraph"/>
        <w:shd w:val="clear" w:color="auto" w:fill="FFFFFF" w:themeFill="background1"/>
        <w:ind w:left="1834"/>
        <w:rPr>
          <w:rFonts w:ascii="Arial" w:hAnsi="Arial" w:cs="Arial"/>
          <w:sz w:val="22"/>
          <w:szCs w:val="22"/>
        </w:rPr>
      </w:pPr>
    </w:p>
    <w:p w14:paraId="0FB6BABE" w14:textId="6FC89DF2"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 xml:space="preserve">Assured (non-shorthold) </w:t>
      </w:r>
      <w:proofErr w:type="gramStart"/>
      <w:r>
        <w:rPr>
          <w:rFonts w:ascii="Arial" w:hAnsi="Arial" w:cs="Arial"/>
          <w:sz w:val="22"/>
          <w:szCs w:val="22"/>
        </w:rPr>
        <w:t>Tenancy</w:t>
      </w:r>
      <w:proofErr w:type="gramEnd"/>
    </w:p>
    <w:p w14:paraId="4B0B576C" w14:textId="6BAD5F7B" w:rsidR="00277355" w:rsidRDefault="00277355" w:rsidP="00983603">
      <w:pPr>
        <w:pStyle w:val="ListParagraph"/>
        <w:numPr>
          <w:ilvl w:val="0"/>
          <w:numId w:val="11"/>
        </w:numPr>
        <w:shd w:val="clear" w:color="auto" w:fill="FFFFFF" w:themeFill="background1"/>
        <w:rPr>
          <w:rFonts w:ascii="Arial" w:hAnsi="Arial" w:cs="Arial"/>
          <w:sz w:val="22"/>
          <w:szCs w:val="22"/>
        </w:rPr>
      </w:pPr>
      <w:r>
        <w:rPr>
          <w:rFonts w:ascii="Arial" w:hAnsi="Arial" w:cs="Arial"/>
          <w:sz w:val="22"/>
          <w:szCs w:val="22"/>
        </w:rPr>
        <w:t>An ongoing tenancy agreement that does not need to be renewed</w:t>
      </w:r>
      <w:r w:rsidR="001C162A">
        <w:rPr>
          <w:rFonts w:ascii="Arial" w:hAnsi="Arial" w:cs="Arial"/>
          <w:sz w:val="22"/>
          <w:szCs w:val="22"/>
        </w:rPr>
        <w:t xml:space="preserve"> providing the tenant adheres to the terms of the tenancy </w:t>
      </w:r>
      <w:r w:rsidR="009249DC">
        <w:rPr>
          <w:rFonts w:ascii="Arial" w:hAnsi="Arial" w:cs="Arial"/>
          <w:sz w:val="22"/>
          <w:szCs w:val="22"/>
        </w:rPr>
        <w:t>agreement.</w:t>
      </w:r>
    </w:p>
    <w:p w14:paraId="2B06F3E4" w14:textId="77777777" w:rsidR="00277355" w:rsidRDefault="00277355" w:rsidP="00277355">
      <w:pPr>
        <w:pStyle w:val="ListParagraph"/>
        <w:shd w:val="clear" w:color="auto" w:fill="FFFFFF" w:themeFill="background1"/>
        <w:ind w:left="1834"/>
        <w:rPr>
          <w:rFonts w:ascii="Arial" w:hAnsi="Arial" w:cs="Arial"/>
          <w:sz w:val="22"/>
          <w:szCs w:val="22"/>
        </w:rPr>
      </w:pPr>
    </w:p>
    <w:p w14:paraId="416058E1" w14:textId="79EFC0EC"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Fixed Term Assured Shorthold Tenancy</w:t>
      </w:r>
    </w:p>
    <w:p w14:paraId="2B7B1EA2" w14:textId="6272F3BB" w:rsidR="00277355" w:rsidRDefault="00277355" w:rsidP="00983603">
      <w:pPr>
        <w:pStyle w:val="ListParagraph"/>
        <w:numPr>
          <w:ilvl w:val="0"/>
          <w:numId w:val="12"/>
        </w:numPr>
        <w:shd w:val="clear" w:color="auto" w:fill="FFFFFF" w:themeFill="background1"/>
        <w:rPr>
          <w:rFonts w:ascii="Arial" w:hAnsi="Arial" w:cs="Arial"/>
          <w:sz w:val="22"/>
          <w:szCs w:val="22"/>
        </w:rPr>
      </w:pPr>
      <w:r>
        <w:rPr>
          <w:rFonts w:ascii="Arial" w:hAnsi="Arial" w:cs="Arial"/>
          <w:sz w:val="22"/>
          <w:szCs w:val="22"/>
        </w:rPr>
        <w:t xml:space="preserve">A fixed term assured shorthold tenancy usually lasting for 5 </w:t>
      </w:r>
      <w:r w:rsidR="009249DC">
        <w:rPr>
          <w:rFonts w:ascii="Arial" w:hAnsi="Arial" w:cs="Arial"/>
          <w:sz w:val="22"/>
          <w:szCs w:val="22"/>
        </w:rPr>
        <w:t>years.</w:t>
      </w:r>
    </w:p>
    <w:p w14:paraId="3BC2F5A6" w14:textId="77777777" w:rsidR="00277355" w:rsidRDefault="00277355" w:rsidP="00277355">
      <w:pPr>
        <w:pStyle w:val="ListParagraph"/>
        <w:shd w:val="clear" w:color="auto" w:fill="FFFFFF" w:themeFill="background1"/>
        <w:ind w:left="1834"/>
        <w:rPr>
          <w:rFonts w:ascii="Arial" w:hAnsi="Arial" w:cs="Arial"/>
          <w:sz w:val="22"/>
          <w:szCs w:val="22"/>
        </w:rPr>
      </w:pPr>
    </w:p>
    <w:p w14:paraId="570EE395" w14:textId="3820B4DB"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Periodic Assured Shorthold Tenancy</w:t>
      </w:r>
    </w:p>
    <w:p w14:paraId="20D01BB0" w14:textId="7FC452B8" w:rsidR="001C162A" w:rsidRDefault="001C162A" w:rsidP="001C162A">
      <w:pPr>
        <w:pStyle w:val="ListParagraph"/>
        <w:numPr>
          <w:ilvl w:val="0"/>
          <w:numId w:val="14"/>
        </w:numPr>
        <w:shd w:val="clear" w:color="auto" w:fill="FFFFFF" w:themeFill="background1"/>
        <w:rPr>
          <w:rFonts w:ascii="Arial" w:hAnsi="Arial" w:cs="Arial"/>
          <w:sz w:val="22"/>
          <w:szCs w:val="22"/>
        </w:rPr>
      </w:pPr>
      <w:r>
        <w:rPr>
          <w:rFonts w:ascii="Arial" w:hAnsi="Arial" w:cs="Arial"/>
          <w:sz w:val="22"/>
          <w:szCs w:val="22"/>
        </w:rPr>
        <w:t>A rolling tenancy with no fixed end date. An assured shorthold tenancy becomes periodic when the fixed terms ends unless another fixed term is agreed.</w:t>
      </w:r>
    </w:p>
    <w:p w14:paraId="6EB3E273" w14:textId="77777777" w:rsidR="001C162A" w:rsidRDefault="001C162A" w:rsidP="001C162A">
      <w:pPr>
        <w:pStyle w:val="ListParagraph"/>
        <w:shd w:val="clear" w:color="auto" w:fill="FFFFFF" w:themeFill="background1"/>
        <w:ind w:left="1834"/>
        <w:rPr>
          <w:rFonts w:ascii="Arial" w:hAnsi="Arial" w:cs="Arial"/>
          <w:sz w:val="22"/>
          <w:szCs w:val="22"/>
        </w:rPr>
      </w:pPr>
    </w:p>
    <w:p w14:paraId="4B020BF7" w14:textId="7F8428C9"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Starter Tenancy</w:t>
      </w:r>
    </w:p>
    <w:p w14:paraId="38FA76CA" w14:textId="4088D71A" w:rsidR="00277355" w:rsidRPr="00277355" w:rsidRDefault="00277355" w:rsidP="00983603">
      <w:pPr>
        <w:pStyle w:val="ListParagraph"/>
        <w:numPr>
          <w:ilvl w:val="0"/>
          <w:numId w:val="10"/>
        </w:numPr>
        <w:rPr>
          <w:rFonts w:ascii="Arial" w:hAnsi="Arial" w:cs="Arial"/>
          <w:sz w:val="22"/>
          <w:szCs w:val="22"/>
        </w:rPr>
      </w:pPr>
      <w:r w:rsidRPr="00277355">
        <w:rPr>
          <w:rFonts w:ascii="Arial" w:hAnsi="Arial" w:cs="Arial"/>
          <w:sz w:val="22"/>
          <w:szCs w:val="22"/>
        </w:rPr>
        <w:t>A start</w:t>
      </w:r>
      <w:r w:rsidR="00983603">
        <w:rPr>
          <w:rFonts w:ascii="Arial" w:hAnsi="Arial" w:cs="Arial"/>
          <w:sz w:val="22"/>
          <w:szCs w:val="22"/>
        </w:rPr>
        <w:t>er</w:t>
      </w:r>
      <w:r w:rsidRPr="00277355">
        <w:rPr>
          <w:rFonts w:ascii="Arial" w:hAnsi="Arial" w:cs="Arial"/>
          <w:sz w:val="22"/>
          <w:szCs w:val="22"/>
        </w:rPr>
        <w:t xml:space="preserve"> tenancy is given to new tenants by many housing associations. It</w:t>
      </w:r>
      <w:r w:rsidR="00983603">
        <w:rPr>
          <w:rFonts w:ascii="Arial" w:hAnsi="Arial" w:cs="Arial"/>
          <w:sz w:val="22"/>
          <w:szCs w:val="22"/>
        </w:rPr>
        <w:t>’</w:t>
      </w:r>
      <w:r w:rsidRPr="00277355">
        <w:rPr>
          <w:rFonts w:ascii="Arial" w:hAnsi="Arial" w:cs="Arial"/>
          <w:sz w:val="22"/>
          <w:szCs w:val="22"/>
        </w:rPr>
        <w:t>s an assured shorthold tenancy which usually lasts for 12 months.</w:t>
      </w:r>
    </w:p>
    <w:p w14:paraId="46BB7F15" w14:textId="77777777" w:rsidR="00277355" w:rsidRDefault="00277355" w:rsidP="00277355">
      <w:pPr>
        <w:pStyle w:val="ListParagraph"/>
        <w:shd w:val="clear" w:color="auto" w:fill="FFFFFF" w:themeFill="background1"/>
        <w:ind w:left="2194"/>
        <w:rPr>
          <w:rFonts w:ascii="Arial" w:hAnsi="Arial" w:cs="Arial"/>
          <w:sz w:val="22"/>
          <w:szCs w:val="22"/>
        </w:rPr>
      </w:pPr>
    </w:p>
    <w:p w14:paraId="06E42B1A" w14:textId="3819A5FF"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Demoted Tenancy</w:t>
      </w:r>
    </w:p>
    <w:p w14:paraId="45041E2D" w14:textId="3F1CA57F" w:rsidR="001C162A" w:rsidRDefault="001C162A" w:rsidP="001C162A">
      <w:pPr>
        <w:pStyle w:val="ListParagraph"/>
        <w:numPr>
          <w:ilvl w:val="0"/>
          <w:numId w:val="15"/>
        </w:numPr>
        <w:shd w:val="clear" w:color="auto" w:fill="FFFFFF" w:themeFill="background1"/>
        <w:rPr>
          <w:rFonts w:ascii="Arial" w:hAnsi="Arial" w:cs="Arial"/>
          <w:sz w:val="22"/>
          <w:szCs w:val="22"/>
        </w:rPr>
      </w:pPr>
      <w:r>
        <w:rPr>
          <w:rFonts w:ascii="Arial" w:hAnsi="Arial" w:cs="Arial"/>
          <w:sz w:val="22"/>
          <w:szCs w:val="22"/>
        </w:rPr>
        <w:t>A tenancy which</w:t>
      </w:r>
      <w:r w:rsidR="00C15006">
        <w:rPr>
          <w:rFonts w:ascii="Arial" w:hAnsi="Arial" w:cs="Arial"/>
          <w:sz w:val="22"/>
          <w:szCs w:val="22"/>
        </w:rPr>
        <w:t xml:space="preserve"> has been demoted for 12months following the issuing of a demotion order by a court.</w:t>
      </w:r>
    </w:p>
    <w:p w14:paraId="31536D61" w14:textId="78285A49" w:rsidR="00C15006" w:rsidRDefault="00C15006" w:rsidP="001C162A">
      <w:pPr>
        <w:pStyle w:val="ListParagraph"/>
        <w:numPr>
          <w:ilvl w:val="0"/>
          <w:numId w:val="15"/>
        </w:numPr>
        <w:shd w:val="clear" w:color="auto" w:fill="FFFFFF" w:themeFill="background1"/>
        <w:rPr>
          <w:rFonts w:ascii="Arial" w:hAnsi="Arial" w:cs="Arial"/>
          <w:sz w:val="22"/>
          <w:szCs w:val="22"/>
        </w:rPr>
      </w:pPr>
      <w:r>
        <w:rPr>
          <w:rFonts w:ascii="Arial" w:hAnsi="Arial" w:cs="Arial"/>
          <w:sz w:val="22"/>
          <w:szCs w:val="22"/>
        </w:rPr>
        <w:t>Demoted tenants can be evicted more easily and lose some of their rights such as the right to buy.</w:t>
      </w:r>
    </w:p>
    <w:p w14:paraId="1AD94844" w14:textId="77777777" w:rsidR="001C162A" w:rsidRDefault="001C162A" w:rsidP="001C162A">
      <w:pPr>
        <w:pStyle w:val="ListParagraph"/>
        <w:shd w:val="clear" w:color="auto" w:fill="FFFFFF" w:themeFill="background1"/>
        <w:ind w:left="1834"/>
        <w:rPr>
          <w:rFonts w:ascii="Arial" w:hAnsi="Arial" w:cs="Arial"/>
          <w:sz w:val="22"/>
          <w:szCs w:val="22"/>
        </w:rPr>
      </w:pPr>
    </w:p>
    <w:p w14:paraId="09566133" w14:textId="747142B9"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Temporary Tenancy</w:t>
      </w:r>
    </w:p>
    <w:p w14:paraId="7CA73314" w14:textId="07E36EA9" w:rsidR="00C15006" w:rsidRDefault="00C15006" w:rsidP="00C15006">
      <w:pPr>
        <w:pStyle w:val="ListParagraph"/>
        <w:numPr>
          <w:ilvl w:val="0"/>
          <w:numId w:val="16"/>
        </w:numPr>
        <w:shd w:val="clear" w:color="auto" w:fill="FFFFFF" w:themeFill="background1"/>
        <w:rPr>
          <w:rFonts w:ascii="Arial" w:hAnsi="Arial" w:cs="Arial"/>
          <w:sz w:val="22"/>
          <w:szCs w:val="22"/>
        </w:rPr>
      </w:pPr>
      <w:r>
        <w:rPr>
          <w:rFonts w:ascii="Arial" w:hAnsi="Arial" w:cs="Arial"/>
          <w:sz w:val="22"/>
          <w:szCs w:val="22"/>
        </w:rPr>
        <w:t xml:space="preserve">A temporary tenancy may be issued by a social landlord if a tenant needs to be decanted to an alternative property for </w:t>
      </w:r>
      <w:proofErr w:type="gramStart"/>
      <w:r>
        <w:rPr>
          <w:rFonts w:ascii="Arial" w:hAnsi="Arial" w:cs="Arial"/>
          <w:sz w:val="22"/>
          <w:szCs w:val="22"/>
        </w:rPr>
        <w:t xml:space="preserve">a period of </w:t>
      </w:r>
      <w:r w:rsidR="009249DC">
        <w:rPr>
          <w:rFonts w:ascii="Arial" w:hAnsi="Arial" w:cs="Arial"/>
          <w:sz w:val="22"/>
          <w:szCs w:val="22"/>
        </w:rPr>
        <w:t>time</w:t>
      </w:r>
      <w:proofErr w:type="gramEnd"/>
      <w:r w:rsidR="009249DC">
        <w:rPr>
          <w:rFonts w:ascii="Arial" w:hAnsi="Arial" w:cs="Arial"/>
          <w:sz w:val="22"/>
          <w:szCs w:val="22"/>
        </w:rPr>
        <w:t>.</w:t>
      </w:r>
    </w:p>
    <w:p w14:paraId="7FBF1C7F" w14:textId="77777777" w:rsidR="00C15006" w:rsidRDefault="00C15006" w:rsidP="00C15006">
      <w:pPr>
        <w:pStyle w:val="ListParagraph"/>
        <w:shd w:val="clear" w:color="auto" w:fill="FFFFFF" w:themeFill="background1"/>
        <w:ind w:left="1834"/>
        <w:rPr>
          <w:rFonts w:ascii="Arial" w:hAnsi="Arial" w:cs="Arial"/>
          <w:sz w:val="22"/>
          <w:szCs w:val="22"/>
        </w:rPr>
      </w:pPr>
    </w:p>
    <w:p w14:paraId="33649AFA" w14:textId="6E1F9CAA"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Intermediate Market Rent Tenancy</w:t>
      </w:r>
    </w:p>
    <w:p w14:paraId="7E7AAF0B" w14:textId="09835A10" w:rsidR="00C15006" w:rsidRDefault="00C15006" w:rsidP="00C15006">
      <w:pPr>
        <w:pStyle w:val="ListParagraph"/>
        <w:numPr>
          <w:ilvl w:val="0"/>
          <w:numId w:val="17"/>
        </w:numPr>
        <w:shd w:val="clear" w:color="auto" w:fill="FFFFFF" w:themeFill="background1"/>
        <w:rPr>
          <w:rFonts w:ascii="Arial" w:hAnsi="Arial" w:cs="Arial"/>
          <w:sz w:val="22"/>
          <w:szCs w:val="22"/>
        </w:rPr>
      </w:pPr>
      <w:r>
        <w:rPr>
          <w:rFonts w:ascii="Arial" w:hAnsi="Arial" w:cs="Arial"/>
          <w:sz w:val="22"/>
          <w:szCs w:val="22"/>
        </w:rPr>
        <w:t>Intermediate market rent tenancies are offered to tenants who meet affordability and employment criteria. They will usually be a form of assured shorthold tenancy and the rent will be 80% of the market rent in the local area for the property type.</w:t>
      </w:r>
    </w:p>
    <w:p w14:paraId="51748B87" w14:textId="77777777" w:rsidR="00C15006" w:rsidRDefault="00C15006" w:rsidP="00C15006">
      <w:pPr>
        <w:pStyle w:val="ListParagraph"/>
        <w:shd w:val="clear" w:color="auto" w:fill="FFFFFF" w:themeFill="background1"/>
        <w:ind w:left="1834"/>
        <w:rPr>
          <w:rFonts w:ascii="Arial" w:hAnsi="Arial" w:cs="Arial"/>
          <w:sz w:val="22"/>
          <w:szCs w:val="22"/>
        </w:rPr>
      </w:pPr>
    </w:p>
    <w:p w14:paraId="5D47B552" w14:textId="24B8E96A"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Market Rent Tenancy</w:t>
      </w:r>
    </w:p>
    <w:p w14:paraId="12510207" w14:textId="62DF82A6" w:rsidR="00C15006" w:rsidRDefault="00C15006" w:rsidP="00C15006">
      <w:pPr>
        <w:pStyle w:val="ListParagraph"/>
        <w:numPr>
          <w:ilvl w:val="0"/>
          <w:numId w:val="18"/>
        </w:numPr>
        <w:shd w:val="clear" w:color="auto" w:fill="FFFFFF" w:themeFill="background1"/>
        <w:rPr>
          <w:rFonts w:ascii="Arial" w:hAnsi="Arial" w:cs="Arial"/>
          <w:sz w:val="22"/>
          <w:szCs w:val="22"/>
        </w:rPr>
      </w:pPr>
      <w:r>
        <w:rPr>
          <w:rFonts w:ascii="Arial" w:hAnsi="Arial" w:cs="Arial"/>
          <w:sz w:val="22"/>
          <w:szCs w:val="22"/>
        </w:rPr>
        <w:t>Usually, an assured shorthold tenancy with the rent set at the market rent for the local area and property type.</w:t>
      </w:r>
    </w:p>
    <w:p w14:paraId="1E04F759" w14:textId="77777777" w:rsidR="00C15006" w:rsidRDefault="00C15006" w:rsidP="00C15006">
      <w:pPr>
        <w:pStyle w:val="ListParagraph"/>
        <w:shd w:val="clear" w:color="auto" w:fill="FFFFFF" w:themeFill="background1"/>
        <w:ind w:left="1834"/>
        <w:rPr>
          <w:rFonts w:ascii="Arial" w:hAnsi="Arial" w:cs="Arial"/>
          <w:sz w:val="22"/>
          <w:szCs w:val="22"/>
        </w:rPr>
      </w:pPr>
    </w:p>
    <w:p w14:paraId="686727D9" w14:textId="35DF69D6"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Protect</w:t>
      </w:r>
      <w:r w:rsidR="00C15006">
        <w:rPr>
          <w:rFonts w:ascii="Arial" w:hAnsi="Arial" w:cs="Arial"/>
          <w:sz w:val="22"/>
          <w:szCs w:val="22"/>
        </w:rPr>
        <w:t>ed</w:t>
      </w:r>
      <w:r>
        <w:rPr>
          <w:rFonts w:ascii="Arial" w:hAnsi="Arial" w:cs="Arial"/>
          <w:sz w:val="22"/>
          <w:szCs w:val="22"/>
        </w:rPr>
        <w:t xml:space="preserve"> Licence</w:t>
      </w:r>
    </w:p>
    <w:p w14:paraId="37454CD2" w14:textId="491423E6" w:rsidR="00C15006" w:rsidRDefault="002845E4" w:rsidP="00C15006">
      <w:pPr>
        <w:pStyle w:val="ListParagraph"/>
        <w:numPr>
          <w:ilvl w:val="0"/>
          <w:numId w:val="19"/>
        </w:numPr>
        <w:shd w:val="clear" w:color="auto" w:fill="FFFFFF" w:themeFill="background1"/>
        <w:rPr>
          <w:rFonts w:ascii="Arial" w:hAnsi="Arial" w:cs="Arial"/>
          <w:sz w:val="22"/>
          <w:szCs w:val="22"/>
        </w:rPr>
      </w:pPr>
      <w:r>
        <w:rPr>
          <w:rFonts w:ascii="Arial" w:hAnsi="Arial" w:cs="Arial"/>
          <w:sz w:val="22"/>
          <w:szCs w:val="22"/>
        </w:rPr>
        <w:t xml:space="preserve">A form of occupancy agreement where the </w:t>
      </w:r>
      <w:r w:rsidR="009249DC">
        <w:rPr>
          <w:rFonts w:ascii="Arial" w:hAnsi="Arial" w:cs="Arial"/>
          <w:sz w:val="22"/>
          <w:szCs w:val="22"/>
        </w:rPr>
        <w:t>licensee</w:t>
      </w:r>
      <w:r>
        <w:rPr>
          <w:rFonts w:ascii="Arial" w:hAnsi="Arial" w:cs="Arial"/>
          <w:sz w:val="22"/>
          <w:szCs w:val="22"/>
        </w:rPr>
        <w:t xml:space="preserve"> can be evicted with 28 days’ notice following the issuing of a court order.</w:t>
      </w:r>
    </w:p>
    <w:p w14:paraId="20586006" w14:textId="77777777" w:rsidR="00C15006" w:rsidRDefault="00C15006" w:rsidP="00C15006">
      <w:pPr>
        <w:pStyle w:val="ListParagraph"/>
        <w:shd w:val="clear" w:color="auto" w:fill="FFFFFF" w:themeFill="background1"/>
        <w:ind w:left="1834"/>
        <w:rPr>
          <w:rFonts w:ascii="Arial" w:hAnsi="Arial" w:cs="Arial"/>
          <w:sz w:val="22"/>
          <w:szCs w:val="22"/>
        </w:rPr>
      </w:pPr>
    </w:p>
    <w:p w14:paraId="4CEB4FF7" w14:textId="2E088A50" w:rsidR="00277355" w:rsidRDefault="00277355"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Excluded Licence</w:t>
      </w:r>
    </w:p>
    <w:p w14:paraId="61CF591F" w14:textId="5D0CFB75" w:rsidR="002845E4" w:rsidRPr="00277355" w:rsidRDefault="002845E4" w:rsidP="002845E4">
      <w:pPr>
        <w:pStyle w:val="ListParagraph"/>
        <w:numPr>
          <w:ilvl w:val="0"/>
          <w:numId w:val="20"/>
        </w:numPr>
        <w:shd w:val="clear" w:color="auto" w:fill="FFFFFF" w:themeFill="background1"/>
        <w:rPr>
          <w:rFonts w:ascii="Arial" w:hAnsi="Arial" w:cs="Arial"/>
          <w:sz w:val="22"/>
          <w:szCs w:val="22"/>
        </w:rPr>
      </w:pPr>
      <w:r>
        <w:rPr>
          <w:rFonts w:ascii="Arial" w:hAnsi="Arial" w:cs="Arial"/>
          <w:sz w:val="22"/>
          <w:szCs w:val="22"/>
        </w:rPr>
        <w:t xml:space="preserve">A form of occupancy agreement where the </w:t>
      </w:r>
      <w:r w:rsidR="009249DC">
        <w:rPr>
          <w:rFonts w:ascii="Arial" w:hAnsi="Arial" w:cs="Arial"/>
          <w:sz w:val="22"/>
          <w:szCs w:val="22"/>
        </w:rPr>
        <w:t>licensee</w:t>
      </w:r>
      <w:r>
        <w:rPr>
          <w:rFonts w:ascii="Arial" w:hAnsi="Arial" w:cs="Arial"/>
          <w:sz w:val="22"/>
          <w:szCs w:val="22"/>
        </w:rPr>
        <w:t xml:space="preserve"> has no protection from eviction and can be evicted without a court order with 7-days’ notice.</w:t>
      </w:r>
    </w:p>
    <w:p w14:paraId="70566DBD" w14:textId="77777777" w:rsidR="00277355" w:rsidRPr="00277355" w:rsidRDefault="00277355" w:rsidP="00277355">
      <w:pPr>
        <w:shd w:val="clear" w:color="auto" w:fill="FFFFFF" w:themeFill="background1"/>
        <w:ind w:left="360"/>
        <w:rPr>
          <w:rFonts w:ascii="Arial" w:hAnsi="Arial" w:cs="Arial"/>
          <w:b/>
          <w:bCs/>
          <w:sz w:val="22"/>
          <w:szCs w:val="22"/>
        </w:rPr>
      </w:pPr>
    </w:p>
    <w:p w14:paraId="3DE6ADBF" w14:textId="1FA2DCEE" w:rsidR="002D1B10" w:rsidRPr="0088593C" w:rsidRDefault="003328B7" w:rsidP="009249DC">
      <w:pPr>
        <w:pStyle w:val="Heading3"/>
        <w:numPr>
          <w:ilvl w:val="0"/>
          <w:numId w:val="5"/>
        </w:numPr>
      </w:pPr>
      <w:bookmarkStart w:id="14" w:name="_Toc160009558"/>
      <w:r>
        <w:t>The Right to Mutual Exchange</w:t>
      </w:r>
      <w:bookmarkEnd w:id="14"/>
    </w:p>
    <w:p w14:paraId="6F6769BD" w14:textId="3D9114A5" w:rsidR="00F81674" w:rsidRDefault="00F81674"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Mutual exchanges take place by either an assignment of the tenancies or by the surrender and re-grant of each tenancy.</w:t>
      </w:r>
    </w:p>
    <w:p w14:paraId="6A33269E" w14:textId="77777777" w:rsidR="00F81674" w:rsidRDefault="00F81674" w:rsidP="00F81674">
      <w:pPr>
        <w:pStyle w:val="ListParagraph"/>
        <w:shd w:val="clear" w:color="auto" w:fill="FFFFFF" w:themeFill="background1"/>
        <w:ind w:left="1474"/>
        <w:rPr>
          <w:rFonts w:ascii="Arial" w:hAnsi="Arial" w:cs="Arial"/>
          <w:sz w:val="22"/>
          <w:szCs w:val="22"/>
        </w:rPr>
      </w:pPr>
    </w:p>
    <w:p w14:paraId="40DEE4B4" w14:textId="1832C976" w:rsidR="0088593C" w:rsidRDefault="00AF78E8"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 xml:space="preserve">The </w:t>
      </w:r>
      <w:r w:rsidR="003328B7">
        <w:rPr>
          <w:rFonts w:ascii="Arial" w:hAnsi="Arial" w:cs="Arial"/>
          <w:sz w:val="22"/>
          <w:szCs w:val="22"/>
        </w:rPr>
        <w:t>following tenancy types have the right to Mutual Exchange.</w:t>
      </w:r>
    </w:p>
    <w:p w14:paraId="309A790C" w14:textId="23E3639E" w:rsidR="003328B7" w:rsidRDefault="003328B7" w:rsidP="00983603">
      <w:pPr>
        <w:pStyle w:val="ListParagraph"/>
        <w:numPr>
          <w:ilvl w:val="0"/>
          <w:numId w:val="6"/>
        </w:numPr>
        <w:shd w:val="clear" w:color="auto" w:fill="FFFFFF" w:themeFill="background1"/>
        <w:rPr>
          <w:rFonts w:ascii="Arial" w:hAnsi="Arial" w:cs="Arial"/>
          <w:sz w:val="22"/>
          <w:szCs w:val="22"/>
        </w:rPr>
      </w:pPr>
      <w:r>
        <w:rPr>
          <w:rFonts w:ascii="Arial" w:hAnsi="Arial" w:cs="Arial"/>
          <w:sz w:val="22"/>
          <w:szCs w:val="22"/>
        </w:rPr>
        <w:t>Secure Tenants</w:t>
      </w:r>
    </w:p>
    <w:p w14:paraId="4C109256" w14:textId="21DB9B5E" w:rsidR="003328B7" w:rsidRDefault="003328B7" w:rsidP="00983603">
      <w:pPr>
        <w:pStyle w:val="ListParagraph"/>
        <w:numPr>
          <w:ilvl w:val="0"/>
          <w:numId w:val="7"/>
        </w:numPr>
        <w:shd w:val="clear" w:color="auto" w:fill="FFFFFF" w:themeFill="background1"/>
        <w:ind w:left="2551" w:hanging="357"/>
        <w:rPr>
          <w:rFonts w:ascii="Arial" w:hAnsi="Arial" w:cs="Arial"/>
          <w:sz w:val="22"/>
          <w:szCs w:val="22"/>
        </w:rPr>
      </w:pPr>
      <w:r>
        <w:rPr>
          <w:rFonts w:ascii="Arial" w:hAnsi="Arial" w:cs="Arial"/>
          <w:sz w:val="22"/>
          <w:szCs w:val="22"/>
        </w:rPr>
        <w:t>Secure tenants have the right assign their tenancy via mutual exchange under section 92 of the Housing Act 1985</w:t>
      </w:r>
    </w:p>
    <w:p w14:paraId="3894874B" w14:textId="409A4DCC" w:rsidR="003328B7" w:rsidRDefault="003328B7" w:rsidP="00983603">
      <w:pPr>
        <w:pStyle w:val="ListParagraph"/>
        <w:numPr>
          <w:ilvl w:val="0"/>
          <w:numId w:val="6"/>
        </w:numPr>
        <w:shd w:val="clear" w:color="auto" w:fill="FFFFFF" w:themeFill="background1"/>
        <w:rPr>
          <w:rFonts w:ascii="Arial" w:hAnsi="Arial" w:cs="Arial"/>
          <w:sz w:val="22"/>
          <w:szCs w:val="22"/>
        </w:rPr>
      </w:pPr>
      <w:r>
        <w:rPr>
          <w:rFonts w:ascii="Arial" w:hAnsi="Arial" w:cs="Arial"/>
          <w:sz w:val="22"/>
          <w:szCs w:val="22"/>
        </w:rPr>
        <w:t xml:space="preserve">Assured (non-shorthold) </w:t>
      </w:r>
      <w:r w:rsidR="009249DC">
        <w:rPr>
          <w:rFonts w:ascii="Arial" w:hAnsi="Arial" w:cs="Arial"/>
          <w:sz w:val="22"/>
          <w:szCs w:val="22"/>
        </w:rPr>
        <w:t>Tenants.</w:t>
      </w:r>
    </w:p>
    <w:p w14:paraId="4998E614" w14:textId="50EB9DAF" w:rsidR="003328B7" w:rsidRDefault="003328B7" w:rsidP="00983603">
      <w:pPr>
        <w:pStyle w:val="ListParagraph"/>
        <w:numPr>
          <w:ilvl w:val="0"/>
          <w:numId w:val="8"/>
        </w:numPr>
        <w:shd w:val="clear" w:color="auto" w:fill="FFFFFF" w:themeFill="background1"/>
        <w:rPr>
          <w:rFonts w:ascii="Arial" w:hAnsi="Arial" w:cs="Arial"/>
          <w:sz w:val="22"/>
          <w:szCs w:val="22"/>
        </w:rPr>
      </w:pPr>
      <w:r>
        <w:rPr>
          <w:rFonts w:ascii="Arial" w:hAnsi="Arial" w:cs="Arial"/>
          <w:sz w:val="22"/>
          <w:szCs w:val="22"/>
        </w:rPr>
        <w:lastRenderedPageBreak/>
        <w:t>Assured tenants do not have the statutory right to exchange but they usually have the right to assign via mutual exchange as a contractual right in their tenancy agreement.</w:t>
      </w:r>
    </w:p>
    <w:p w14:paraId="643E7DB8" w14:textId="1A67725F" w:rsidR="003328B7" w:rsidRDefault="003328B7" w:rsidP="00983603">
      <w:pPr>
        <w:pStyle w:val="ListParagraph"/>
        <w:numPr>
          <w:ilvl w:val="0"/>
          <w:numId w:val="8"/>
        </w:numPr>
        <w:shd w:val="clear" w:color="auto" w:fill="FFFFFF" w:themeFill="background1"/>
        <w:rPr>
          <w:rFonts w:ascii="Arial" w:hAnsi="Arial" w:cs="Arial"/>
          <w:sz w:val="22"/>
          <w:szCs w:val="22"/>
        </w:rPr>
      </w:pPr>
      <w:r>
        <w:rPr>
          <w:rFonts w:ascii="Arial" w:hAnsi="Arial" w:cs="Arial"/>
          <w:sz w:val="22"/>
          <w:szCs w:val="22"/>
        </w:rPr>
        <w:t>Written consent from the landlords of all parties to the exchange is required and the landlords must be local authorities or housing associations.</w:t>
      </w:r>
    </w:p>
    <w:p w14:paraId="2C438179" w14:textId="3582506C" w:rsidR="003328B7" w:rsidRDefault="003328B7" w:rsidP="00983603">
      <w:pPr>
        <w:pStyle w:val="ListParagraph"/>
        <w:numPr>
          <w:ilvl w:val="0"/>
          <w:numId w:val="6"/>
        </w:numPr>
        <w:shd w:val="clear" w:color="auto" w:fill="FFFFFF" w:themeFill="background1"/>
        <w:rPr>
          <w:rFonts w:ascii="Arial" w:hAnsi="Arial" w:cs="Arial"/>
          <w:sz w:val="22"/>
          <w:szCs w:val="22"/>
        </w:rPr>
      </w:pPr>
      <w:r>
        <w:rPr>
          <w:rFonts w:ascii="Arial" w:hAnsi="Arial" w:cs="Arial"/>
          <w:sz w:val="22"/>
          <w:szCs w:val="22"/>
        </w:rPr>
        <w:t>Fixed Term Assured Shorthold Tenants</w:t>
      </w:r>
    </w:p>
    <w:p w14:paraId="7FF1DAAB" w14:textId="07F39733" w:rsidR="003328B7" w:rsidRDefault="003328B7" w:rsidP="00983603">
      <w:pPr>
        <w:pStyle w:val="ListParagraph"/>
        <w:numPr>
          <w:ilvl w:val="0"/>
          <w:numId w:val="9"/>
        </w:numPr>
        <w:shd w:val="clear" w:color="auto" w:fill="FFFFFF" w:themeFill="background1"/>
        <w:ind w:left="2551" w:hanging="357"/>
        <w:rPr>
          <w:rFonts w:ascii="Arial" w:hAnsi="Arial" w:cs="Arial"/>
          <w:sz w:val="22"/>
          <w:szCs w:val="22"/>
        </w:rPr>
      </w:pPr>
      <w:r>
        <w:rPr>
          <w:rFonts w:ascii="Arial" w:hAnsi="Arial" w:cs="Arial"/>
          <w:sz w:val="22"/>
          <w:szCs w:val="22"/>
        </w:rPr>
        <w:t>Fixed term tenants have the right to mutual exchange if a clause to this effect was included within their tenancy agreement and the initial fixed term was greater than 2 years.</w:t>
      </w:r>
    </w:p>
    <w:p w14:paraId="10BBF352" w14:textId="77777777" w:rsidR="003328B7" w:rsidRDefault="003328B7" w:rsidP="003328B7">
      <w:pPr>
        <w:pStyle w:val="ListParagraph"/>
        <w:shd w:val="clear" w:color="auto" w:fill="FFFFFF" w:themeFill="background1"/>
        <w:ind w:left="1834"/>
        <w:rPr>
          <w:rFonts w:ascii="Arial" w:hAnsi="Arial" w:cs="Arial"/>
          <w:sz w:val="22"/>
          <w:szCs w:val="22"/>
        </w:rPr>
      </w:pPr>
    </w:p>
    <w:p w14:paraId="1922E05C" w14:textId="42CB913D" w:rsidR="003328B7" w:rsidRDefault="003328B7"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The following tenancy types do not have the right to mutual exchange.</w:t>
      </w:r>
    </w:p>
    <w:p w14:paraId="21DC2273" w14:textId="63C225B3" w:rsidR="003328B7" w:rsidRDefault="006B1E7B"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Starter tenancies (including extension periods)</w:t>
      </w:r>
    </w:p>
    <w:p w14:paraId="2663F134" w14:textId="77777777" w:rsidR="006B1E7B" w:rsidRDefault="006B1E7B"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 xml:space="preserve">Fixed term assured shorthold </w:t>
      </w:r>
      <w:proofErr w:type="gramStart"/>
      <w:r>
        <w:rPr>
          <w:rFonts w:ascii="Arial" w:hAnsi="Arial" w:cs="Arial"/>
          <w:sz w:val="22"/>
          <w:szCs w:val="22"/>
        </w:rPr>
        <w:t>tenants</w:t>
      </w:r>
      <w:proofErr w:type="gramEnd"/>
    </w:p>
    <w:p w14:paraId="4B8C415A" w14:textId="6329121C" w:rsidR="006B1E7B" w:rsidRDefault="006B1E7B" w:rsidP="00983603">
      <w:pPr>
        <w:pStyle w:val="ListParagraph"/>
        <w:numPr>
          <w:ilvl w:val="2"/>
          <w:numId w:val="6"/>
        </w:numPr>
        <w:shd w:val="clear" w:color="auto" w:fill="FFFFFF" w:themeFill="background1"/>
        <w:rPr>
          <w:rFonts w:ascii="Arial" w:hAnsi="Arial" w:cs="Arial"/>
          <w:sz w:val="22"/>
          <w:szCs w:val="22"/>
        </w:rPr>
      </w:pPr>
      <w:r>
        <w:rPr>
          <w:rFonts w:ascii="Arial" w:hAnsi="Arial" w:cs="Arial"/>
          <w:sz w:val="22"/>
          <w:szCs w:val="22"/>
        </w:rPr>
        <w:t>where the initial fixed term was less than 2 years</w:t>
      </w:r>
    </w:p>
    <w:p w14:paraId="6FF83BFD" w14:textId="77777777" w:rsidR="006B1E7B" w:rsidRDefault="006B1E7B"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Periodic assured shorthold tenants</w:t>
      </w:r>
    </w:p>
    <w:p w14:paraId="500AFA1C" w14:textId="77777777" w:rsidR="006B1E7B" w:rsidRDefault="006B1E7B" w:rsidP="00983603">
      <w:pPr>
        <w:pStyle w:val="ListParagraph"/>
        <w:numPr>
          <w:ilvl w:val="2"/>
          <w:numId w:val="6"/>
        </w:numPr>
        <w:shd w:val="clear" w:color="auto" w:fill="FFFFFF" w:themeFill="background1"/>
        <w:ind w:left="2483" w:hanging="357"/>
        <w:rPr>
          <w:rFonts w:ascii="Arial" w:hAnsi="Arial" w:cs="Arial"/>
          <w:sz w:val="22"/>
          <w:szCs w:val="22"/>
        </w:rPr>
      </w:pPr>
      <w:proofErr w:type="gramStart"/>
      <w:r>
        <w:rPr>
          <w:rFonts w:ascii="Arial" w:hAnsi="Arial" w:cs="Arial"/>
          <w:sz w:val="22"/>
          <w:szCs w:val="22"/>
        </w:rPr>
        <w:t>as a result of</w:t>
      </w:r>
      <w:proofErr w:type="gramEnd"/>
      <w:r>
        <w:rPr>
          <w:rFonts w:ascii="Arial" w:hAnsi="Arial" w:cs="Arial"/>
          <w:sz w:val="22"/>
          <w:szCs w:val="22"/>
        </w:rPr>
        <w:t xml:space="preserve"> a break notice being served during the term</w:t>
      </w:r>
    </w:p>
    <w:p w14:paraId="50F75163" w14:textId="77777777" w:rsidR="006B1E7B" w:rsidRDefault="006B1E7B" w:rsidP="00983603">
      <w:pPr>
        <w:pStyle w:val="ListParagraph"/>
        <w:numPr>
          <w:ilvl w:val="2"/>
          <w:numId w:val="6"/>
        </w:numPr>
        <w:shd w:val="clear" w:color="auto" w:fill="FFFFFF" w:themeFill="background1"/>
        <w:ind w:left="2483" w:hanging="357"/>
        <w:rPr>
          <w:rFonts w:ascii="Arial" w:hAnsi="Arial" w:cs="Arial"/>
          <w:sz w:val="22"/>
          <w:szCs w:val="22"/>
        </w:rPr>
      </w:pPr>
      <w:r>
        <w:rPr>
          <w:rFonts w:ascii="Arial" w:hAnsi="Arial" w:cs="Arial"/>
          <w:sz w:val="22"/>
          <w:szCs w:val="22"/>
        </w:rPr>
        <w:t>where a new tenancy agreement has not been signed at the end of the fixed term</w:t>
      </w:r>
    </w:p>
    <w:p w14:paraId="191D5BFF" w14:textId="0E6CCFC6" w:rsidR="006B1E7B" w:rsidRDefault="006B1E7B"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Demoted tenancies</w:t>
      </w:r>
    </w:p>
    <w:p w14:paraId="3B571470" w14:textId="7F6AABF2" w:rsidR="002845E4" w:rsidRDefault="002845E4"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Intermediate or market rent tenancies</w:t>
      </w:r>
    </w:p>
    <w:p w14:paraId="29F1DFF6" w14:textId="153D60A3" w:rsidR="002845E4" w:rsidRDefault="002845E4"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Temporary tenancies</w:t>
      </w:r>
    </w:p>
    <w:p w14:paraId="1AE6D046" w14:textId="02659520" w:rsidR="002845E4" w:rsidRDefault="002845E4"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 xml:space="preserve">Protected </w:t>
      </w:r>
      <w:r w:rsidR="009249DC">
        <w:rPr>
          <w:rFonts w:ascii="Arial" w:hAnsi="Arial" w:cs="Arial"/>
          <w:sz w:val="22"/>
          <w:szCs w:val="22"/>
        </w:rPr>
        <w:t>licensees</w:t>
      </w:r>
    </w:p>
    <w:p w14:paraId="3AB47D48" w14:textId="16B243FB" w:rsidR="002845E4" w:rsidRDefault="002845E4" w:rsidP="00983603">
      <w:pPr>
        <w:pStyle w:val="ListParagraph"/>
        <w:numPr>
          <w:ilvl w:val="1"/>
          <w:numId w:val="6"/>
        </w:numPr>
        <w:shd w:val="clear" w:color="auto" w:fill="FFFFFF" w:themeFill="background1"/>
        <w:rPr>
          <w:rFonts w:ascii="Arial" w:hAnsi="Arial" w:cs="Arial"/>
          <w:sz w:val="22"/>
          <w:szCs w:val="22"/>
        </w:rPr>
      </w:pPr>
      <w:r>
        <w:rPr>
          <w:rFonts w:ascii="Arial" w:hAnsi="Arial" w:cs="Arial"/>
          <w:sz w:val="22"/>
          <w:szCs w:val="22"/>
        </w:rPr>
        <w:t xml:space="preserve">Excluded </w:t>
      </w:r>
      <w:proofErr w:type="gramStart"/>
      <w:r w:rsidR="009249DC">
        <w:rPr>
          <w:rFonts w:ascii="Arial" w:hAnsi="Arial" w:cs="Arial"/>
          <w:sz w:val="22"/>
          <w:szCs w:val="22"/>
        </w:rPr>
        <w:t>licensees</w:t>
      </w:r>
      <w:proofErr w:type="gramEnd"/>
    </w:p>
    <w:p w14:paraId="50CFD7BB" w14:textId="77777777" w:rsidR="003328B7" w:rsidRDefault="003328B7" w:rsidP="003328B7">
      <w:pPr>
        <w:pStyle w:val="ListParagraph"/>
        <w:shd w:val="clear" w:color="auto" w:fill="FFFFFF" w:themeFill="background1"/>
        <w:ind w:left="1920"/>
        <w:rPr>
          <w:rFonts w:ascii="Arial" w:hAnsi="Arial" w:cs="Arial"/>
          <w:sz w:val="22"/>
          <w:szCs w:val="22"/>
        </w:rPr>
      </w:pPr>
    </w:p>
    <w:p w14:paraId="1288744A" w14:textId="1F31A385" w:rsidR="003328B7" w:rsidRDefault="00F81674"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Private sector tenants do not have the right to mutual exchange.</w:t>
      </w:r>
    </w:p>
    <w:p w14:paraId="210B665E" w14:textId="77777777" w:rsidR="003328B7" w:rsidRPr="0088593C" w:rsidRDefault="003328B7" w:rsidP="003328B7">
      <w:pPr>
        <w:pStyle w:val="ListParagraph"/>
        <w:shd w:val="clear" w:color="auto" w:fill="FFFFFF" w:themeFill="background1"/>
        <w:ind w:left="1474"/>
        <w:rPr>
          <w:rFonts w:ascii="Arial" w:hAnsi="Arial" w:cs="Arial"/>
          <w:sz w:val="22"/>
          <w:szCs w:val="22"/>
        </w:rPr>
      </w:pPr>
    </w:p>
    <w:p w14:paraId="4352C9F4" w14:textId="4E2601F0" w:rsidR="0053428E" w:rsidRDefault="00F81674" w:rsidP="002C54EA">
      <w:pPr>
        <w:pStyle w:val="Heading3"/>
        <w:numPr>
          <w:ilvl w:val="0"/>
          <w:numId w:val="5"/>
        </w:numPr>
      </w:pPr>
      <w:bookmarkStart w:id="15" w:name="_Toc160009559"/>
      <w:r>
        <w:t>St Basil’s &amp; Mutual Exchange</w:t>
      </w:r>
      <w:bookmarkEnd w:id="15"/>
    </w:p>
    <w:p w14:paraId="4559EF6D" w14:textId="47B7BC0B" w:rsidR="0053428E" w:rsidRPr="00F81674" w:rsidRDefault="00F23D67" w:rsidP="00983603">
      <w:pPr>
        <w:pStyle w:val="ListParagraph"/>
        <w:numPr>
          <w:ilvl w:val="1"/>
          <w:numId w:val="5"/>
        </w:numPr>
        <w:shd w:val="clear" w:color="auto" w:fill="FFFFFF" w:themeFill="background1"/>
        <w:ind w:left="1474" w:hanging="737"/>
        <w:rPr>
          <w:rFonts w:ascii="Arial" w:hAnsi="Arial" w:cs="Arial"/>
          <w:b/>
          <w:bCs/>
          <w:sz w:val="22"/>
          <w:szCs w:val="22"/>
        </w:rPr>
      </w:pPr>
      <w:r>
        <w:rPr>
          <w:rFonts w:ascii="Arial" w:hAnsi="Arial" w:cs="Arial"/>
          <w:sz w:val="22"/>
          <w:szCs w:val="22"/>
        </w:rPr>
        <w:t xml:space="preserve">St Basil’s </w:t>
      </w:r>
      <w:r w:rsidR="00F81674">
        <w:rPr>
          <w:rFonts w:ascii="Arial" w:hAnsi="Arial" w:cs="Arial"/>
          <w:sz w:val="22"/>
          <w:szCs w:val="22"/>
        </w:rPr>
        <w:t>primarily provides supported housing for vulnerable young people at risk of homelessness aged between 18 and 25. Our supported housing properties are let on excluded licences, protected licences and assured shorthold tenancies depending on the property type and level of support provided.</w:t>
      </w:r>
    </w:p>
    <w:p w14:paraId="42FAF11A" w14:textId="5CADD66D" w:rsidR="00F81674" w:rsidRPr="00F81674" w:rsidRDefault="00F81674" w:rsidP="00F81674">
      <w:pPr>
        <w:pStyle w:val="ListParagraph"/>
        <w:shd w:val="clear" w:color="auto" w:fill="FFFFFF" w:themeFill="background1"/>
        <w:ind w:left="1474"/>
        <w:rPr>
          <w:rFonts w:ascii="Arial" w:hAnsi="Arial" w:cs="Arial"/>
          <w:b/>
          <w:bCs/>
          <w:sz w:val="22"/>
          <w:szCs w:val="22"/>
        </w:rPr>
      </w:pPr>
    </w:p>
    <w:p w14:paraId="355F9E2D" w14:textId="31F35789" w:rsidR="00F81674" w:rsidRDefault="00F81674" w:rsidP="00983603">
      <w:pPr>
        <w:pStyle w:val="ListParagraph"/>
        <w:numPr>
          <w:ilvl w:val="1"/>
          <w:numId w:val="5"/>
        </w:numPr>
        <w:shd w:val="clear" w:color="auto" w:fill="FFFFFF" w:themeFill="background1"/>
        <w:ind w:left="1474" w:hanging="737"/>
        <w:rPr>
          <w:rFonts w:ascii="Arial" w:hAnsi="Arial" w:cs="Arial"/>
          <w:sz w:val="22"/>
          <w:szCs w:val="22"/>
        </w:rPr>
      </w:pPr>
      <w:r w:rsidRPr="00F81674">
        <w:rPr>
          <w:rFonts w:ascii="Arial" w:hAnsi="Arial" w:cs="Arial"/>
          <w:sz w:val="22"/>
          <w:szCs w:val="22"/>
        </w:rPr>
        <w:t>St Basil’s</w:t>
      </w:r>
      <w:r>
        <w:rPr>
          <w:rFonts w:ascii="Arial" w:hAnsi="Arial" w:cs="Arial"/>
          <w:sz w:val="22"/>
          <w:szCs w:val="22"/>
        </w:rPr>
        <w:t xml:space="preserve"> also provides </w:t>
      </w:r>
      <w:r w:rsidR="00A614C9">
        <w:rPr>
          <w:rFonts w:ascii="Arial" w:hAnsi="Arial" w:cs="Arial"/>
          <w:sz w:val="22"/>
          <w:szCs w:val="22"/>
        </w:rPr>
        <w:t>stepping stone accommodation</w:t>
      </w:r>
      <w:r>
        <w:rPr>
          <w:rFonts w:ascii="Arial" w:hAnsi="Arial" w:cs="Arial"/>
          <w:sz w:val="22"/>
          <w:szCs w:val="22"/>
        </w:rPr>
        <w:t xml:space="preserve"> for young people aged 18-25 who are in work or on an apprenticeship. These properties are let on protected licences or assured shorthold tenancies depending on whether they are self-contained or shared.</w:t>
      </w:r>
    </w:p>
    <w:p w14:paraId="4F420E9E" w14:textId="77777777" w:rsidR="00F81674" w:rsidRPr="00F81674" w:rsidRDefault="00F81674" w:rsidP="00F81674">
      <w:pPr>
        <w:pStyle w:val="ListParagraph"/>
        <w:rPr>
          <w:rFonts w:ascii="Arial" w:hAnsi="Arial" w:cs="Arial"/>
          <w:sz w:val="22"/>
          <w:szCs w:val="22"/>
        </w:rPr>
      </w:pPr>
    </w:p>
    <w:p w14:paraId="1C35992D" w14:textId="083E9B3F" w:rsidR="00F81674" w:rsidRDefault="00F81674"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 xml:space="preserve">No St Basil’s tenancy has a fixed term of more than two years and we do not offer tenancy types which permit mutual exchange. As a result, the right to mutual exchange is not available to St Basil’s tenants, </w:t>
      </w:r>
      <w:r w:rsidR="00976E74">
        <w:rPr>
          <w:rFonts w:ascii="Arial" w:hAnsi="Arial" w:cs="Arial"/>
          <w:sz w:val="22"/>
          <w:szCs w:val="22"/>
        </w:rPr>
        <w:t>licensees,</w:t>
      </w:r>
      <w:r>
        <w:rPr>
          <w:rFonts w:ascii="Arial" w:hAnsi="Arial" w:cs="Arial"/>
          <w:sz w:val="22"/>
          <w:szCs w:val="22"/>
        </w:rPr>
        <w:t xml:space="preserve"> or the tenants of other registered providers.</w:t>
      </w:r>
    </w:p>
    <w:p w14:paraId="39085653" w14:textId="77777777" w:rsidR="00F81674" w:rsidRPr="00F81674" w:rsidRDefault="00F81674" w:rsidP="00F81674">
      <w:pPr>
        <w:pStyle w:val="ListParagraph"/>
        <w:rPr>
          <w:rFonts w:ascii="Arial" w:hAnsi="Arial" w:cs="Arial"/>
          <w:sz w:val="22"/>
          <w:szCs w:val="22"/>
        </w:rPr>
      </w:pPr>
    </w:p>
    <w:p w14:paraId="702E3DDE" w14:textId="45E74487" w:rsidR="00F81674" w:rsidRPr="00F81674" w:rsidRDefault="00F81674" w:rsidP="00983603">
      <w:pPr>
        <w:pStyle w:val="ListParagraph"/>
        <w:numPr>
          <w:ilvl w:val="1"/>
          <w:numId w:val="5"/>
        </w:numPr>
        <w:shd w:val="clear" w:color="auto" w:fill="FFFFFF" w:themeFill="background1"/>
        <w:ind w:left="1474" w:hanging="737"/>
        <w:rPr>
          <w:rFonts w:ascii="Arial" w:hAnsi="Arial" w:cs="Arial"/>
          <w:sz w:val="22"/>
          <w:szCs w:val="22"/>
        </w:rPr>
      </w:pPr>
      <w:r>
        <w:rPr>
          <w:rFonts w:ascii="Arial" w:hAnsi="Arial" w:cs="Arial"/>
          <w:sz w:val="22"/>
          <w:szCs w:val="22"/>
        </w:rPr>
        <w:t>St Basil’s will always support young people meeting our eligibility criteria who want to live in one of our properties. Young people can access our housing by approaching one of our youth hubs, a local authority housing team in one of the areas we work in or through our website.</w:t>
      </w:r>
    </w:p>
    <w:p w14:paraId="20DCB7E7" w14:textId="77777777" w:rsidR="003328B7" w:rsidRPr="0053428E" w:rsidRDefault="003328B7" w:rsidP="003328B7">
      <w:pPr>
        <w:pStyle w:val="ListParagraph"/>
        <w:shd w:val="clear" w:color="auto" w:fill="FFFFFF" w:themeFill="background1"/>
        <w:ind w:left="1474"/>
        <w:rPr>
          <w:rFonts w:ascii="Arial" w:hAnsi="Arial" w:cs="Arial"/>
          <w:b/>
          <w:bCs/>
          <w:sz w:val="22"/>
          <w:szCs w:val="22"/>
        </w:rPr>
      </w:pPr>
    </w:p>
    <w:p w14:paraId="21165379" w14:textId="77777777" w:rsidR="001F615C" w:rsidRPr="0088593C" w:rsidRDefault="001F615C" w:rsidP="0088593C">
      <w:pPr>
        <w:shd w:val="clear" w:color="auto" w:fill="FFFFFF" w:themeFill="background1"/>
        <w:ind w:left="360"/>
        <w:rPr>
          <w:rFonts w:ascii="Arial" w:hAnsi="Arial" w:cs="Arial"/>
          <w:sz w:val="22"/>
          <w:szCs w:val="22"/>
        </w:rPr>
      </w:pPr>
    </w:p>
    <w:p w14:paraId="7084072D" w14:textId="77777777" w:rsidR="00A90CFE" w:rsidRPr="002D1B10" w:rsidRDefault="00A90CFE" w:rsidP="006E3D43">
      <w:pPr>
        <w:pStyle w:val="ListParagraph"/>
        <w:shd w:val="clear" w:color="auto" w:fill="FFFFFF" w:themeFill="background1"/>
        <w:rPr>
          <w:rFonts w:ascii="Arial" w:hAnsi="Arial" w:cs="Arial"/>
          <w:sz w:val="22"/>
          <w:szCs w:val="22"/>
        </w:rPr>
      </w:pPr>
    </w:p>
    <w:p w14:paraId="5CCF64F9" w14:textId="77777777" w:rsidR="001E3A74" w:rsidRPr="00E54037" w:rsidRDefault="001E3A74" w:rsidP="00982C26">
      <w:pPr>
        <w:shd w:val="clear" w:color="auto" w:fill="FFFFFF" w:themeFill="background1"/>
        <w:rPr>
          <w:rFonts w:ascii="Arial" w:hAnsi="Arial" w:cs="Arial"/>
          <w:sz w:val="22"/>
          <w:szCs w:val="22"/>
        </w:rPr>
      </w:pPr>
    </w:p>
    <w:p w14:paraId="5CCF64FA" w14:textId="5E8B805B" w:rsidR="001E3A74" w:rsidRPr="00E54037" w:rsidRDefault="001E3A74" w:rsidP="00982C26">
      <w:pPr>
        <w:shd w:val="clear" w:color="auto" w:fill="FFFFFF" w:themeFill="background1"/>
        <w:overflowPunct/>
        <w:autoSpaceDE/>
        <w:autoSpaceDN/>
        <w:adjustRightInd/>
        <w:spacing w:after="160" w:line="259" w:lineRule="auto"/>
        <w:rPr>
          <w:rFonts w:ascii="Arial" w:hAnsi="Arial" w:cs="Arial"/>
          <w:b/>
          <w:sz w:val="24"/>
          <w:szCs w:val="24"/>
        </w:rPr>
      </w:pPr>
    </w:p>
    <w:sectPr w:rsidR="001E3A74" w:rsidRPr="00E54037" w:rsidSect="00A969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E87E" w14:textId="77777777" w:rsidR="00A96986" w:rsidRPr="00970E73" w:rsidRDefault="00A96986" w:rsidP="001E3A74">
      <w:r w:rsidRPr="00970E73">
        <w:separator/>
      </w:r>
    </w:p>
  </w:endnote>
  <w:endnote w:type="continuationSeparator" w:id="0">
    <w:p w14:paraId="41AB9408" w14:textId="77777777" w:rsidR="00A96986" w:rsidRPr="00970E73" w:rsidRDefault="00A96986" w:rsidP="001E3A74">
      <w:r w:rsidRPr="00970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808"/>
      <w:docPartObj>
        <w:docPartGallery w:val="Page Numbers (Bottom of Page)"/>
        <w:docPartUnique/>
      </w:docPartObj>
    </w:sdtPr>
    <w:sdtEndPr>
      <w:rPr>
        <w:sz w:val="20"/>
      </w:rPr>
    </w:sdtEndPr>
    <w:sdtContent>
      <w:p w14:paraId="5CCF65CC" w14:textId="77777777" w:rsidR="001E3A74" w:rsidRPr="00571646" w:rsidRDefault="001E3A74" w:rsidP="001E3A74">
        <w:pPr>
          <w:pStyle w:val="Footer"/>
          <w:jc w:val="right"/>
          <w:rPr>
            <w:sz w:val="20"/>
          </w:rPr>
        </w:pPr>
        <w:r w:rsidRPr="00571646">
          <w:rPr>
            <w:sz w:val="20"/>
          </w:rPr>
          <w:fldChar w:fldCharType="begin"/>
        </w:r>
        <w:r w:rsidRPr="00970E73">
          <w:rPr>
            <w:sz w:val="20"/>
          </w:rPr>
          <w:instrText xml:space="preserve"> PAGE   \* MERGEFORMAT </w:instrText>
        </w:r>
        <w:r w:rsidRPr="00571646">
          <w:rPr>
            <w:sz w:val="20"/>
          </w:rPr>
          <w:fldChar w:fldCharType="separate"/>
        </w:r>
        <w:r w:rsidR="00D64D54" w:rsidRPr="00571646">
          <w:rPr>
            <w:sz w:val="20"/>
          </w:rPr>
          <w:t>1</w:t>
        </w:r>
        <w:r w:rsidRPr="00571646">
          <w:rPr>
            <w:sz w:val="20"/>
          </w:rPr>
          <w:fldChar w:fldCharType="end"/>
        </w:r>
      </w:p>
    </w:sdtContent>
  </w:sdt>
  <w:p w14:paraId="5CCF65CD" w14:textId="1D0B4400" w:rsidR="001E3A74" w:rsidRPr="00970E73" w:rsidRDefault="000232FA">
    <w:pPr>
      <w:pStyle w:val="Footer"/>
      <w:rPr>
        <w:sz w:val="20"/>
      </w:rPr>
    </w:pPr>
    <w:r>
      <w:rPr>
        <w:sz w:val="20"/>
      </w:rPr>
      <w:t xml:space="preserve">Neighbourhood Management </w:t>
    </w:r>
    <w:r w:rsidR="001E3A74" w:rsidRPr="00970E73">
      <w:rPr>
        <w:sz w:val="20"/>
      </w:rPr>
      <w:t>Policy V:</w:t>
    </w:r>
    <w:r w:rsidR="00366510">
      <w:rPr>
        <w:sz w:val="20"/>
      </w:rPr>
      <w:t>1.0</w:t>
    </w:r>
    <w:r w:rsidR="002C54EA">
      <w:rPr>
        <w:sz w:val="20"/>
      </w:rPr>
      <w:t xml:space="preserve"> (Final) </w:t>
    </w:r>
    <w:r w:rsidR="00366510">
      <w:rPr>
        <w:sz w:val="20"/>
      </w:rPr>
      <w:t>March</w:t>
    </w:r>
    <w:r w:rsidR="002C54EA">
      <w:rPr>
        <w:sz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C0A1" w14:textId="77777777" w:rsidR="00A96986" w:rsidRPr="00970E73" w:rsidRDefault="00A96986" w:rsidP="001E3A74">
      <w:r w:rsidRPr="00970E73">
        <w:separator/>
      </w:r>
    </w:p>
  </w:footnote>
  <w:footnote w:type="continuationSeparator" w:id="0">
    <w:p w14:paraId="0C80DD1C" w14:textId="77777777" w:rsidR="00A96986" w:rsidRPr="00970E73" w:rsidRDefault="00A96986" w:rsidP="001E3A74">
      <w:r w:rsidRPr="00970E7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7D9"/>
    <w:multiLevelType w:val="hybridMultilevel"/>
    <w:tmpl w:val="4B10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0BD2"/>
    <w:multiLevelType w:val="hybridMultilevel"/>
    <w:tmpl w:val="8E76E908"/>
    <w:lvl w:ilvl="0" w:tplc="84E60914">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2" w15:restartNumberingAfterBreak="0">
    <w:nsid w:val="134A34D5"/>
    <w:multiLevelType w:val="hybridMultilevel"/>
    <w:tmpl w:val="D69CCF86"/>
    <w:lvl w:ilvl="0" w:tplc="9056980E">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3" w15:restartNumberingAfterBreak="0">
    <w:nsid w:val="21BD7634"/>
    <w:multiLevelType w:val="hybridMultilevel"/>
    <w:tmpl w:val="99306FE8"/>
    <w:lvl w:ilvl="0" w:tplc="3822C734">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4" w15:restartNumberingAfterBreak="0">
    <w:nsid w:val="21E03838"/>
    <w:multiLevelType w:val="hybridMultilevel"/>
    <w:tmpl w:val="010A4DDE"/>
    <w:lvl w:ilvl="0" w:tplc="EF4CE7E6">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5" w15:restartNumberingAfterBreak="0">
    <w:nsid w:val="22D5009D"/>
    <w:multiLevelType w:val="hybridMultilevel"/>
    <w:tmpl w:val="DF5A06F8"/>
    <w:lvl w:ilvl="0" w:tplc="99444D38">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6" w15:restartNumberingAfterBreak="0">
    <w:nsid w:val="2B9B0F0F"/>
    <w:multiLevelType w:val="hybridMultilevel"/>
    <w:tmpl w:val="34284C5C"/>
    <w:lvl w:ilvl="0" w:tplc="F63AAA0C">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7" w15:restartNumberingAfterBreak="0">
    <w:nsid w:val="36B45A96"/>
    <w:multiLevelType w:val="hybridMultilevel"/>
    <w:tmpl w:val="B21C8074"/>
    <w:lvl w:ilvl="0" w:tplc="F4FE5238">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8" w15:restartNumberingAfterBreak="0">
    <w:nsid w:val="373A6E2C"/>
    <w:multiLevelType w:val="multilevel"/>
    <w:tmpl w:val="4FF84900"/>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546555"/>
    <w:multiLevelType w:val="hybridMultilevel"/>
    <w:tmpl w:val="2B2C9AD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AD36EE4"/>
    <w:multiLevelType w:val="hybridMultilevel"/>
    <w:tmpl w:val="00760FCA"/>
    <w:lvl w:ilvl="0" w:tplc="0809001B">
      <w:start w:val="1"/>
      <w:numFmt w:val="lowerRoman"/>
      <w:lvlText w:val="%1."/>
      <w:lvlJc w:val="right"/>
      <w:pPr>
        <w:ind w:left="2554" w:hanging="360"/>
      </w:pPr>
    </w:lvl>
    <w:lvl w:ilvl="1" w:tplc="08090019" w:tentative="1">
      <w:start w:val="1"/>
      <w:numFmt w:val="lowerLetter"/>
      <w:lvlText w:val="%2."/>
      <w:lvlJc w:val="left"/>
      <w:pPr>
        <w:ind w:left="3274" w:hanging="360"/>
      </w:pPr>
    </w:lvl>
    <w:lvl w:ilvl="2" w:tplc="0809001B" w:tentative="1">
      <w:start w:val="1"/>
      <w:numFmt w:val="lowerRoman"/>
      <w:lvlText w:val="%3."/>
      <w:lvlJc w:val="right"/>
      <w:pPr>
        <w:ind w:left="3994" w:hanging="180"/>
      </w:pPr>
    </w:lvl>
    <w:lvl w:ilvl="3" w:tplc="0809000F" w:tentative="1">
      <w:start w:val="1"/>
      <w:numFmt w:val="decimal"/>
      <w:lvlText w:val="%4."/>
      <w:lvlJc w:val="left"/>
      <w:pPr>
        <w:ind w:left="4714" w:hanging="360"/>
      </w:pPr>
    </w:lvl>
    <w:lvl w:ilvl="4" w:tplc="08090019" w:tentative="1">
      <w:start w:val="1"/>
      <w:numFmt w:val="lowerLetter"/>
      <w:lvlText w:val="%5."/>
      <w:lvlJc w:val="left"/>
      <w:pPr>
        <w:ind w:left="5434" w:hanging="360"/>
      </w:pPr>
    </w:lvl>
    <w:lvl w:ilvl="5" w:tplc="0809001B" w:tentative="1">
      <w:start w:val="1"/>
      <w:numFmt w:val="lowerRoman"/>
      <w:lvlText w:val="%6."/>
      <w:lvlJc w:val="right"/>
      <w:pPr>
        <w:ind w:left="6154" w:hanging="180"/>
      </w:pPr>
    </w:lvl>
    <w:lvl w:ilvl="6" w:tplc="0809000F" w:tentative="1">
      <w:start w:val="1"/>
      <w:numFmt w:val="decimal"/>
      <w:lvlText w:val="%7."/>
      <w:lvlJc w:val="left"/>
      <w:pPr>
        <w:ind w:left="6874" w:hanging="360"/>
      </w:pPr>
    </w:lvl>
    <w:lvl w:ilvl="7" w:tplc="08090019" w:tentative="1">
      <w:start w:val="1"/>
      <w:numFmt w:val="lowerLetter"/>
      <w:lvlText w:val="%8."/>
      <w:lvlJc w:val="left"/>
      <w:pPr>
        <w:ind w:left="7594" w:hanging="360"/>
      </w:pPr>
    </w:lvl>
    <w:lvl w:ilvl="8" w:tplc="0809001B" w:tentative="1">
      <w:start w:val="1"/>
      <w:numFmt w:val="lowerRoman"/>
      <w:lvlText w:val="%9."/>
      <w:lvlJc w:val="right"/>
      <w:pPr>
        <w:ind w:left="8314" w:hanging="180"/>
      </w:pPr>
    </w:lvl>
  </w:abstractNum>
  <w:abstractNum w:abstractNumId="11" w15:restartNumberingAfterBreak="0">
    <w:nsid w:val="3F08534D"/>
    <w:multiLevelType w:val="hybridMultilevel"/>
    <w:tmpl w:val="495C9A98"/>
    <w:lvl w:ilvl="0" w:tplc="E2521D32">
      <w:start w:val="1"/>
      <w:numFmt w:val="lowerLetter"/>
      <w:lvlText w:val="%1."/>
      <w:lvlJc w:val="left"/>
      <w:pPr>
        <w:ind w:left="1834" w:hanging="360"/>
      </w:pPr>
      <w:rPr>
        <w:rFonts w:hint="default"/>
      </w:rPr>
    </w:lvl>
    <w:lvl w:ilvl="1" w:tplc="08090019">
      <w:start w:val="1"/>
      <w:numFmt w:val="lowerLetter"/>
      <w:lvlText w:val="%2."/>
      <w:lvlJc w:val="left"/>
      <w:pPr>
        <w:ind w:left="1920" w:hanging="360"/>
      </w:pPr>
    </w:lvl>
    <w:lvl w:ilvl="2" w:tplc="0809001B">
      <w:start w:val="1"/>
      <w:numFmt w:val="lowerRoman"/>
      <w:lvlText w:val="%3."/>
      <w:lvlJc w:val="right"/>
      <w:pPr>
        <w:ind w:left="2307"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2" w15:restartNumberingAfterBreak="0">
    <w:nsid w:val="4C4667DB"/>
    <w:multiLevelType w:val="hybridMultilevel"/>
    <w:tmpl w:val="00760FCA"/>
    <w:lvl w:ilvl="0" w:tplc="FFFFFFFF">
      <w:start w:val="1"/>
      <w:numFmt w:val="lowerRoman"/>
      <w:lvlText w:val="%1."/>
      <w:lvlJc w:val="right"/>
      <w:pPr>
        <w:ind w:left="2554" w:hanging="360"/>
      </w:pPr>
    </w:lvl>
    <w:lvl w:ilvl="1" w:tplc="FFFFFFFF" w:tentative="1">
      <w:start w:val="1"/>
      <w:numFmt w:val="lowerLetter"/>
      <w:lvlText w:val="%2."/>
      <w:lvlJc w:val="left"/>
      <w:pPr>
        <w:ind w:left="3274" w:hanging="360"/>
      </w:pPr>
    </w:lvl>
    <w:lvl w:ilvl="2" w:tplc="FFFFFFFF" w:tentative="1">
      <w:start w:val="1"/>
      <w:numFmt w:val="lowerRoman"/>
      <w:lvlText w:val="%3."/>
      <w:lvlJc w:val="right"/>
      <w:pPr>
        <w:ind w:left="3994" w:hanging="180"/>
      </w:pPr>
    </w:lvl>
    <w:lvl w:ilvl="3" w:tplc="FFFFFFFF" w:tentative="1">
      <w:start w:val="1"/>
      <w:numFmt w:val="decimal"/>
      <w:lvlText w:val="%4."/>
      <w:lvlJc w:val="left"/>
      <w:pPr>
        <w:ind w:left="4714" w:hanging="360"/>
      </w:pPr>
    </w:lvl>
    <w:lvl w:ilvl="4" w:tplc="FFFFFFFF" w:tentative="1">
      <w:start w:val="1"/>
      <w:numFmt w:val="lowerLetter"/>
      <w:lvlText w:val="%5."/>
      <w:lvlJc w:val="left"/>
      <w:pPr>
        <w:ind w:left="5434" w:hanging="360"/>
      </w:pPr>
    </w:lvl>
    <w:lvl w:ilvl="5" w:tplc="FFFFFFFF" w:tentative="1">
      <w:start w:val="1"/>
      <w:numFmt w:val="lowerRoman"/>
      <w:lvlText w:val="%6."/>
      <w:lvlJc w:val="right"/>
      <w:pPr>
        <w:ind w:left="6154" w:hanging="180"/>
      </w:pPr>
    </w:lvl>
    <w:lvl w:ilvl="6" w:tplc="FFFFFFFF" w:tentative="1">
      <w:start w:val="1"/>
      <w:numFmt w:val="decimal"/>
      <w:lvlText w:val="%7."/>
      <w:lvlJc w:val="left"/>
      <w:pPr>
        <w:ind w:left="6874" w:hanging="360"/>
      </w:pPr>
    </w:lvl>
    <w:lvl w:ilvl="7" w:tplc="FFFFFFFF" w:tentative="1">
      <w:start w:val="1"/>
      <w:numFmt w:val="lowerLetter"/>
      <w:lvlText w:val="%8."/>
      <w:lvlJc w:val="left"/>
      <w:pPr>
        <w:ind w:left="7594" w:hanging="360"/>
      </w:pPr>
    </w:lvl>
    <w:lvl w:ilvl="8" w:tplc="FFFFFFFF" w:tentative="1">
      <w:start w:val="1"/>
      <w:numFmt w:val="lowerRoman"/>
      <w:lvlText w:val="%9."/>
      <w:lvlJc w:val="right"/>
      <w:pPr>
        <w:ind w:left="8314" w:hanging="180"/>
      </w:pPr>
    </w:lvl>
  </w:abstractNum>
  <w:abstractNum w:abstractNumId="13" w15:restartNumberingAfterBreak="0">
    <w:nsid w:val="4F012D20"/>
    <w:multiLevelType w:val="hybridMultilevel"/>
    <w:tmpl w:val="605E79BA"/>
    <w:lvl w:ilvl="0" w:tplc="506A6D4C">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4" w15:restartNumberingAfterBreak="0">
    <w:nsid w:val="4F9E1F24"/>
    <w:multiLevelType w:val="hybridMultilevel"/>
    <w:tmpl w:val="EA06881C"/>
    <w:lvl w:ilvl="0" w:tplc="F93CFDF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63DD5"/>
    <w:multiLevelType w:val="hybridMultilevel"/>
    <w:tmpl w:val="00760FCA"/>
    <w:lvl w:ilvl="0" w:tplc="FFFFFFFF">
      <w:start w:val="1"/>
      <w:numFmt w:val="lowerRoman"/>
      <w:lvlText w:val="%1."/>
      <w:lvlJc w:val="right"/>
      <w:pPr>
        <w:ind w:left="2554" w:hanging="360"/>
      </w:pPr>
    </w:lvl>
    <w:lvl w:ilvl="1" w:tplc="FFFFFFFF" w:tentative="1">
      <w:start w:val="1"/>
      <w:numFmt w:val="lowerLetter"/>
      <w:lvlText w:val="%2."/>
      <w:lvlJc w:val="left"/>
      <w:pPr>
        <w:ind w:left="3274" w:hanging="360"/>
      </w:pPr>
    </w:lvl>
    <w:lvl w:ilvl="2" w:tplc="FFFFFFFF" w:tentative="1">
      <w:start w:val="1"/>
      <w:numFmt w:val="lowerRoman"/>
      <w:lvlText w:val="%3."/>
      <w:lvlJc w:val="right"/>
      <w:pPr>
        <w:ind w:left="3994" w:hanging="180"/>
      </w:pPr>
    </w:lvl>
    <w:lvl w:ilvl="3" w:tplc="FFFFFFFF" w:tentative="1">
      <w:start w:val="1"/>
      <w:numFmt w:val="decimal"/>
      <w:lvlText w:val="%4."/>
      <w:lvlJc w:val="left"/>
      <w:pPr>
        <w:ind w:left="4714" w:hanging="360"/>
      </w:pPr>
    </w:lvl>
    <w:lvl w:ilvl="4" w:tplc="FFFFFFFF" w:tentative="1">
      <w:start w:val="1"/>
      <w:numFmt w:val="lowerLetter"/>
      <w:lvlText w:val="%5."/>
      <w:lvlJc w:val="left"/>
      <w:pPr>
        <w:ind w:left="5434" w:hanging="360"/>
      </w:pPr>
    </w:lvl>
    <w:lvl w:ilvl="5" w:tplc="FFFFFFFF" w:tentative="1">
      <w:start w:val="1"/>
      <w:numFmt w:val="lowerRoman"/>
      <w:lvlText w:val="%6."/>
      <w:lvlJc w:val="right"/>
      <w:pPr>
        <w:ind w:left="6154" w:hanging="180"/>
      </w:pPr>
    </w:lvl>
    <w:lvl w:ilvl="6" w:tplc="FFFFFFFF" w:tentative="1">
      <w:start w:val="1"/>
      <w:numFmt w:val="decimal"/>
      <w:lvlText w:val="%7."/>
      <w:lvlJc w:val="left"/>
      <w:pPr>
        <w:ind w:left="6874" w:hanging="360"/>
      </w:pPr>
    </w:lvl>
    <w:lvl w:ilvl="7" w:tplc="FFFFFFFF" w:tentative="1">
      <w:start w:val="1"/>
      <w:numFmt w:val="lowerLetter"/>
      <w:lvlText w:val="%8."/>
      <w:lvlJc w:val="left"/>
      <w:pPr>
        <w:ind w:left="7594" w:hanging="360"/>
      </w:pPr>
    </w:lvl>
    <w:lvl w:ilvl="8" w:tplc="FFFFFFFF" w:tentative="1">
      <w:start w:val="1"/>
      <w:numFmt w:val="lowerRoman"/>
      <w:lvlText w:val="%9."/>
      <w:lvlJc w:val="right"/>
      <w:pPr>
        <w:ind w:left="8314" w:hanging="180"/>
      </w:pPr>
    </w:lvl>
  </w:abstractNum>
  <w:abstractNum w:abstractNumId="16" w15:restartNumberingAfterBreak="0">
    <w:nsid w:val="584641AF"/>
    <w:multiLevelType w:val="hybridMultilevel"/>
    <w:tmpl w:val="92E61BA6"/>
    <w:lvl w:ilvl="0" w:tplc="2870ACA4">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7" w15:restartNumberingAfterBreak="0">
    <w:nsid w:val="5BF340EE"/>
    <w:multiLevelType w:val="hybridMultilevel"/>
    <w:tmpl w:val="A468AE44"/>
    <w:lvl w:ilvl="0" w:tplc="D618D2DC">
      <w:start w:val="1"/>
      <w:numFmt w:val="lowerLetter"/>
      <w:lvlText w:val="%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7213C3"/>
    <w:multiLevelType w:val="hybridMultilevel"/>
    <w:tmpl w:val="30021150"/>
    <w:lvl w:ilvl="0" w:tplc="FDEE5250">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19" w15:restartNumberingAfterBreak="0">
    <w:nsid w:val="700E1E21"/>
    <w:multiLevelType w:val="hybridMultilevel"/>
    <w:tmpl w:val="302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37F80"/>
    <w:multiLevelType w:val="hybridMultilevel"/>
    <w:tmpl w:val="7CECF444"/>
    <w:lvl w:ilvl="0" w:tplc="5A7A7C1A">
      <w:start w:val="1"/>
      <w:numFmt w:val="lowerLetter"/>
      <w:lvlText w:val="%1."/>
      <w:lvlJc w:val="left"/>
      <w:pPr>
        <w:ind w:left="1834" w:hanging="360"/>
      </w:pPr>
      <w:rPr>
        <w:rFonts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num w:numId="1" w16cid:durableId="1599560607">
    <w:abstractNumId w:val="0"/>
  </w:num>
  <w:num w:numId="2" w16cid:durableId="1753160580">
    <w:abstractNumId w:val="19"/>
  </w:num>
  <w:num w:numId="3" w16cid:durableId="1252928960">
    <w:abstractNumId w:val="17"/>
  </w:num>
  <w:num w:numId="4" w16cid:durableId="166092089">
    <w:abstractNumId w:val="14"/>
  </w:num>
  <w:num w:numId="5" w16cid:durableId="1804468552">
    <w:abstractNumId w:val="8"/>
  </w:num>
  <w:num w:numId="6" w16cid:durableId="1502354593">
    <w:abstractNumId w:val="11"/>
  </w:num>
  <w:num w:numId="7" w16cid:durableId="1785224089">
    <w:abstractNumId w:val="10"/>
  </w:num>
  <w:num w:numId="8" w16cid:durableId="471412977">
    <w:abstractNumId w:val="12"/>
  </w:num>
  <w:num w:numId="9" w16cid:durableId="1178665243">
    <w:abstractNumId w:val="15"/>
  </w:num>
  <w:num w:numId="10" w16cid:durableId="23527617">
    <w:abstractNumId w:val="9"/>
  </w:num>
  <w:num w:numId="11" w16cid:durableId="801121409">
    <w:abstractNumId w:val="13"/>
  </w:num>
  <w:num w:numId="12" w16cid:durableId="1558276976">
    <w:abstractNumId w:val="4"/>
  </w:num>
  <w:num w:numId="13" w16cid:durableId="1464232766">
    <w:abstractNumId w:val="7"/>
  </w:num>
  <w:num w:numId="14" w16cid:durableId="47607279">
    <w:abstractNumId w:val="1"/>
  </w:num>
  <w:num w:numId="15" w16cid:durableId="2020421031">
    <w:abstractNumId w:val="20"/>
  </w:num>
  <w:num w:numId="16" w16cid:durableId="332606873">
    <w:abstractNumId w:val="18"/>
  </w:num>
  <w:num w:numId="17" w16cid:durableId="887491771">
    <w:abstractNumId w:val="3"/>
  </w:num>
  <w:num w:numId="18" w16cid:durableId="265964465">
    <w:abstractNumId w:val="6"/>
  </w:num>
  <w:num w:numId="19" w16cid:durableId="478225743">
    <w:abstractNumId w:val="16"/>
  </w:num>
  <w:num w:numId="20" w16cid:durableId="651761440">
    <w:abstractNumId w:val="5"/>
  </w:num>
  <w:num w:numId="21" w16cid:durableId="134802075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74"/>
    <w:rsid w:val="000232FA"/>
    <w:rsid w:val="00027040"/>
    <w:rsid w:val="0005211D"/>
    <w:rsid w:val="0005333E"/>
    <w:rsid w:val="00055EFF"/>
    <w:rsid w:val="000662B0"/>
    <w:rsid w:val="000673B2"/>
    <w:rsid w:val="000731D9"/>
    <w:rsid w:val="0007541A"/>
    <w:rsid w:val="00077FBD"/>
    <w:rsid w:val="00093B37"/>
    <w:rsid w:val="000C7FF0"/>
    <w:rsid w:val="00106427"/>
    <w:rsid w:val="001110D8"/>
    <w:rsid w:val="00135635"/>
    <w:rsid w:val="001A49D0"/>
    <w:rsid w:val="001A7180"/>
    <w:rsid w:val="001B05C7"/>
    <w:rsid w:val="001B31F7"/>
    <w:rsid w:val="001B6686"/>
    <w:rsid w:val="001C162A"/>
    <w:rsid w:val="001C46F1"/>
    <w:rsid w:val="001D264E"/>
    <w:rsid w:val="001E3A74"/>
    <w:rsid w:val="001F1631"/>
    <w:rsid w:val="001F615C"/>
    <w:rsid w:val="002226E9"/>
    <w:rsid w:val="00233475"/>
    <w:rsid w:val="0027489E"/>
    <w:rsid w:val="00277355"/>
    <w:rsid w:val="002845E4"/>
    <w:rsid w:val="00290DF5"/>
    <w:rsid w:val="00293E99"/>
    <w:rsid w:val="002B3446"/>
    <w:rsid w:val="002B6263"/>
    <w:rsid w:val="002C444D"/>
    <w:rsid w:val="002C5456"/>
    <w:rsid w:val="002C54EA"/>
    <w:rsid w:val="002D1ACB"/>
    <w:rsid w:val="002D1B10"/>
    <w:rsid w:val="002F589B"/>
    <w:rsid w:val="002F7DCF"/>
    <w:rsid w:val="003057E5"/>
    <w:rsid w:val="003136D6"/>
    <w:rsid w:val="003139A8"/>
    <w:rsid w:val="003328B7"/>
    <w:rsid w:val="00364272"/>
    <w:rsid w:val="00366510"/>
    <w:rsid w:val="0037181D"/>
    <w:rsid w:val="003A104F"/>
    <w:rsid w:val="003B487A"/>
    <w:rsid w:val="003D2521"/>
    <w:rsid w:val="003D69FB"/>
    <w:rsid w:val="003E0D4C"/>
    <w:rsid w:val="003E176C"/>
    <w:rsid w:val="003E7DD0"/>
    <w:rsid w:val="004012D6"/>
    <w:rsid w:val="00434712"/>
    <w:rsid w:val="00434A33"/>
    <w:rsid w:val="00437233"/>
    <w:rsid w:val="004402F6"/>
    <w:rsid w:val="004511CC"/>
    <w:rsid w:val="00453DBE"/>
    <w:rsid w:val="004713B1"/>
    <w:rsid w:val="00481D97"/>
    <w:rsid w:val="00496502"/>
    <w:rsid w:val="004A13FA"/>
    <w:rsid w:val="004B1A34"/>
    <w:rsid w:val="004C20CF"/>
    <w:rsid w:val="004C7A36"/>
    <w:rsid w:val="004D1BC3"/>
    <w:rsid w:val="004F075D"/>
    <w:rsid w:val="004F3399"/>
    <w:rsid w:val="004F4D7F"/>
    <w:rsid w:val="00502699"/>
    <w:rsid w:val="00502E67"/>
    <w:rsid w:val="005159DF"/>
    <w:rsid w:val="0053428E"/>
    <w:rsid w:val="0054007E"/>
    <w:rsid w:val="00565BED"/>
    <w:rsid w:val="00571646"/>
    <w:rsid w:val="00572A54"/>
    <w:rsid w:val="005904FB"/>
    <w:rsid w:val="005940EF"/>
    <w:rsid w:val="005E2A2A"/>
    <w:rsid w:val="005E5EF1"/>
    <w:rsid w:val="0060502A"/>
    <w:rsid w:val="00606FFE"/>
    <w:rsid w:val="006134F0"/>
    <w:rsid w:val="006442B5"/>
    <w:rsid w:val="00651764"/>
    <w:rsid w:val="00657F48"/>
    <w:rsid w:val="006726A6"/>
    <w:rsid w:val="0067561C"/>
    <w:rsid w:val="00691FC9"/>
    <w:rsid w:val="006A00A7"/>
    <w:rsid w:val="006A260C"/>
    <w:rsid w:val="006A6846"/>
    <w:rsid w:val="006B1E7B"/>
    <w:rsid w:val="006B527E"/>
    <w:rsid w:val="006B6056"/>
    <w:rsid w:val="006B6188"/>
    <w:rsid w:val="006C140B"/>
    <w:rsid w:val="006C7544"/>
    <w:rsid w:val="006D1C59"/>
    <w:rsid w:val="006E3D43"/>
    <w:rsid w:val="00701A9E"/>
    <w:rsid w:val="00713A7E"/>
    <w:rsid w:val="007426F8"/>
    <w:rsid w:val="00750F2E"/>
    <w:rsid w:val="00780C69"/>
    <w:rsid w:val="007F4D0C"/>
    <w:rsid w:val="00801A7B"/>
    <w:rsid w:val="00806DC2"/>
    <w:rsid w:val="008446AA"/>
    <w:rsid w:val="00850C3F"/>
    <w:rsid w:val="008838FA"/>
    <w:rsid w:val="008855E3"/>
    <w:rsid w:val="0088593C"/>
    <w:rsid w:val="00897A80"/>
    <w:rsid w:val="008B5D68"/>
    <w:rsid w:val="008D2188"/>
    <w:rsid w:val="008D5551"/>
    <w:rsid w:val="008E735E"/>
    <w:rsid w:val="009066DE"/>
    <w:rsid w:val="00917E4B"/>
    <w:rsid w:val="00921557"/>
    <w:rsid w:val="009249DC"/>
    <w:rsid w:val="009428DA"/>
    <w:rsid w:val="00946301"/>
    <w:rsid w:val="00970E73"/>
    <w:rsid w:val="0097507B"/>
    <w:rsid w:val="00976E74"/>
    <w:rsid w:val="00980727"/>
    <w:rsid w:val="00982C26"/>
    <w:rsid w:val="00983603"/>
    <w:rsid w:val="0099009B"/>
    <w:rsid w:val="00996896"/>
    <w:rsid w:val="009C36D8"/>
    <w:rsid w:val="009C5066"/>
    <w:rsid w:val="00A17BEC"/>
    <w:rsid w:val="00A239C7"/>
    <w:rsid w:val="00A24DA1"/>
    <w:rsid w:val="00A341BB"/>
    <w:rsid w:val="00A45269"/>
    <w:rsid w:val="00A614C9"/>
    <w:rsid w:val="00A75D63"/>
    <w:rsid w:val="00A86D79"/>
    <w:rsid w:val="00A90CFE"/>
    <w:rsid w:val="00A94C3E"/>
    <w:rsid w:val="00A96986"/>
    <w:rsid w:val="00AA372F"/>
    <w:rsid w:val="00AA4138"/>
    <w:rsid w:val="00AB3E4B"/>
    <w:rsid w:val="00AD3270"/>
    <w:rsid w:val="00AE2A75"/>
    <w:rsid w:val="00AF0C96"/>
    <w:rsid w:val="00AF78E8"/>
    <w:rsid w:val="00B04B4F"/>
    <w:rsid w:val="00B16AF7"/>
    <w:rsid w:val="00B22F08"/>
    <w:rsid w:val="00B23B8A"/>
    <w:rsid w:val="00B24212"/>
    <w:rsid w:val="00B4389E"/>
    <w:rsid w:val="00B4754A"/>
    <w:rsid w:val="00B600CB"/>
    <w:rsid w:val="00B76096"/>
    <w:rsid w:val="00B8004D"/>
    <w:rsid w:val="00B91AA4"/>
    <w:rsid w:val="00BB5B97"/>
    <w:rsid w:val="00BC7C31"/>
    <w:rsid w:val="00BD6504"/>
    <w:rsid w:val="00BE713B"/>
    <w:rsid w:val="00BF0CF7"/>
    <w:rsid w:val="00BF26B6"/>
    <w:rsid w:val="00C04486"/>
    <w:rsid w:val="00C15006"/>
    <w:rsid w:val="00C410F9"/>
    <w:rsid w:val="00C50D81"/>
    <w:rsid w:val="00C8017B"/>
    <w:rsid w:val="00C80298"/>
    <w:rsid w:val="00CA29E2"/>
    <w:rsid w:val="00CA331E"/>
    <w:rsid w:val="00CA4232"/>
    <w:rsid w:val="00CB4E74"/>
    <w:rsid w:val="00CC4FFA"/>
    <w:rsid w:val="00CD2F38"/>
    <w:rsid w:val="00D07A97"/>
    <w:rsid w:val="00D13007"/>
    <w:rsid w:val="00D17416"/>
    <w:rsid w:val="00D64D54"/>
    <w:rsid w:val="00D65057"/>
    <w:rsid w:val="00D87ACF"/>
    <w:rsid w:val="00D923C9"/>
    <w:rsid w:val="00DA64E1"/>
    <w:rsid w:val="00DB3E65"/>
    <w:rsid w:val="00DD566D"/>
    <w:rsid w:val="00DF2D2A"/>
    <w:rsid w:val="00E02AF8"/>
    <w:rsid w:val="00E0660A"/>
    <w:rsid w:val="00E254D7"/>
    <w:rsid w:val="00E54037"/>
    <w:rsid w:val="00E56B35"/>
    <w:rsid w:val="00E610DD"/>
    <w:rsid w:val="00E61392"/>
    <w:rsid w:val="00E74F7F"/>
    <w:rsid w:val="00E837A3"/>
    <w:rsid w:val="00E867E5"/>
    <w:rsid w:val="00E97BCA"/>
    <w:rsid w:val="00ED3BD1"/>
    <w:rsid w:val="00ED43FF"/>
    <w:rsid w:val="00ED5A25"/>
    <w:rsid w:val="00EE41FF"/>
    <w:rsid w:val="00F140BD"/>
    <w:rsid w:val="00F20618"/>
    <w:rsid w:val="00F23D67"/>
    <w:rsid w:val="00F3421A"/>
    <w:rsid w:val="00F4718C"/>
    <w:rsid w:val="00F73E31"/>
    <w:rsid w:val="00F766DE"/>
    <w:rsid w:val="00F81674"/>
    <w:rsid w:val="00F8506E"/>
    <w:rsid w:val="00F85BD6"/>
    <w:rsid w:val="00F97766"/>
    <w:rsid w:val="00FA74AC"/>
    <w:rsid w:val="00FB2DF9"/>
    <w:rsid w:val="00FC55F6"/>
    <w:rsid w:val="00FD3796"/>
    <w:rsid w:val="00FF31E4"/>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646E"/>
  <w15:chartTrackingRefBased/>
  <w15:docId w15:val="{556510D9-08B9-48F7-B3BD-7342B0FB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74"/>
    <w:pPr>
      <w:overflowPunct w:val="0"/>
      <w:autoSpaceDE w:val="0"/>
      <w:autoSpaceDN w:val="0"/>
      <w:adjustRightInd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9249DC"/>
    <w:pPr>
      <w:keepNext/>
      <w:overflowPunct/>
      <w:autoSpaceDE/>
      <w:autoSpaceDN/>
      <w:adjustRightInd/>
      <w:outlineLvl w:val="0"/>
    </w:pPr>
    <w:rPr>
      <w:rFonts w:ascii="Arial" w:hAnsi="Arial"/>
      <w:b/>
      <w:caps/>
      <w:sz w:val="24"/>
      <w:lang w:eastAsia="en-GB"/>
    </w:rPr>
  </w:style>
  <w:style w:type="paragraph" w:styleId="Heading2">
    <w:name w:val="heading 2"/>
    <w:basedOn w:val="Normal"/>
    <w:next w:val="Normal"/>
    <w:link w:val="Heading2Char"/>
    <w:uiPriority w:val="9"/>
    <w:unhideWhenUsed/>
    <w:qFormat/>
    <w:rsid w:val="009249DC"/>
    <w:pPr>
      <w:keepNext/>
      <w:keepLines/>
      <w:spacing w:before="40"/>
      <w:outlineLvl w:val="1"/>
    </w:pPr>
    <w:rPr>
      <w:rFonts w:ascii="Arial" w:eastAsiaTheme="majorEastAsia" w:hAnsi="Arial" w:cstheme="majorBidi"/>
      <w:b/>
      <w:sz w:val="22"/>
      <w:szCs w:val="26"/>
    </w:rPr>
  </w:style>
  <w:style w:type="paragraph" w:styleId="Heading3">
    <w:name w:val="heading 3"/>
    <w:basedOn w:val="Normal"/>
    <w:next w:val="Normal"/>
    <w:link w:val="Heading3Char"/>
    <w:uiPriority w:val="9"/>
    <w:unhideWhenUsed/>
    <w:qFormat/>
    <w:rsid w:val="009249DC"/>
    <w:pPr>
      <w:keepNext/>
      <w:keepLines/>
      <w:spacing w:before="40"/>
      <w:outlineLvl w:val="2"/>
    </w:pPr>
    <w:rPr>
      <w:rFonts w:ascii="Arial" w:eastAsiaTheme="majorEastAsia" w:hAnsi="Arial" w:cstheme="majorBidi"/>
      <w:b/>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74"/>
    <w:pPr>
      <w:ind w:left="720"/>
    </w:pPr>
  </w:style>
  <w:style w:type="paragraph" w:styleId="Title">
    <w:name w:val="Title"/>
    <w:link w:val="TitleChar"/>
    <w:qFormat/>
    <w:rsid w:val="001E3A74"/>
    <w:pPr>
      <w:spacing w:before="240" w:after="60"/>
      <w:jc w:val="center"/>
    </w:pPr>
    <w:rPr>
      <w:rFonts w:ascii="Arial" w:eastAsia="SimSun" w:hAnsi="Arial" w:cs="Times New Roman"/>
      <w:b/>
      <w:sz w:val="32"/>
      <w:szCs w:val="32"/>
      <w:lang w:val="en-US" w:eastAsia="zh-CN"/>
    </w:rPr>
  </w:style>
  <w:style w:type="character" w:customStyle="1" w:styleId="TitleChar">
    <w:name w:val="Title Char"/>
    <w:basedOn w:val="DefaultParagraphFont"/>
    <w:link w:val="Title"/>
    <w:rsid w:val="001E3A74"/>
    <w:rPr>
      <w:rFonts w:ascii="Arial" w:eastAsia="SimSun" w:hAnsi="Arial" w:cs="Times New Roman"/>
      <w:b/>
      <w:sz w:val="32"/>
      <w:szCs w:val="32"/>
      <w:lang w:val="en-US" w:eastAsia="zh-CN"/>
    </w:rPr>
  </w:style>
  <w:style w:type="table" w:styleId="TableGrid">
    <w:name w:val="Table Grid"/>
    <w:basedOn w:val="TableNormal"/>
    <w:uiPriority w:val="39"/>
    <w:qFormat/>
    <w:rsid w:val="001E3A74"/>
    <w:pPr>
      <w:spacing w:after="0" w:line="240" w:lineRule="auto"/>
    </w:pPr>
    <w:rPr>
      <w:rFonts w:ascii="Calibri" w:eastAsia="SimSu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9DC"/>
    <w:rPr>
      <w:rFonts w:ascii="Arial" w:eastAsia="Times New Roman" w:hAnsi="Arial" w:cs="Times New Roman"/>
      <w:b/>
      <w:caps/>
      <w:sz w:val="24"/>
      <w:szCs w:val="20"/>
      <w:lang w:eastAsia="en-GB"/>
    </w:rPr>
  </w:style>
  <w:style w:type="paragraph" w:styleId="BodyTextIndent">
    <w:name w:val="Body Text Indent"/>
    <w:basedOn w:val="Normal"/>
    <w:link w:val="BodyTextIndentChar"/>
    <w:uiPriority w:val="99"/>
    <w:unhideWhenUsed/>
    <w:rsid w:val="001E3A74"/>
    <w:pPr>
      <w:spacing w:after="120"/>
      <w:ind w:left="283"/>
    </w:pPr>
  </w:style>
  <w:style w:type="character" w:customStyle="1" w:styleId="BodyTextIndentChar">
    <w:name w:val="Body Text Indent Char"/>
    <w:basedOn w:val="DefaultParagraphFont"/>
    <w:link w:val="BodyTextIndent"/>
    <w:uiPriority w:val="99"/>
    <w:rsid w:val="001E3A74"/>
    <w:rPr>
      <w:rFonts w:ascii="Times New Roman" w:eastAsia="Times New Roman" w:hAnsi="Times New Roman" w:cs="Times New Roman"/>
      <w:sz w:val="26"/>
      <w:szCs w:val="20"/>
    </w:rPr>
  </w:style>
  <w:style w:type="paragraph" w:styleId="FootnoteText">
    <w:name w:val="footnote text"/>
    <w:basedOn w:val="Normal"/>
    <w:link w:val="FootnoteTextChar"/>
    <w:uiPriority w:val="99"/>
    <w:semiHidden/>
    <w:unhideWhenUsed/>
    <w:rsid w:val="001E3A74"/>
    <w:pPr>
      <w:overflowPunct/>
      <w:autoSpaceDE/>
      <w:autoSpaceDN/>
      <w:adjustRightInd/>
    </w:pPr>
    <w:rPr>
      <w:sz w:val="20"/>
      <w:lang w:eastAsia="en-GB"/>
    </w:rPr>
  </w:style>
  <w:style w:type="character" w:customStyle="1" w:styleId="FootnoteTextChar">
    <w:name w:val="Footnote Text Char"/>
    <w:basedOn w:val="DefaultParagraphFont"/>
    <w:link w:val="FootnoteText"/>
    <w:uiPriority w:val="99"/>
    <w:semiHidden/>
    <w:rsid w:val="001E3A7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E3A74"/>
    <w:rPr>
      <w:vertAlign w:val="superscript"/>
    </w:rPr>
  </w:style>
  <w:style w:type="paragraph" w:styleId="Header">
    <w:name w:val="header"/>
    <w:basedOn w:val="Normal"/>
    <w:link w:val="HeaderChar"/>
    <w:uiPriority w:val="99"/>
    <w:unhideWhenUsed/>
    <w:rsid w:val="001E3A74"/>
    <w:pPr>
      <w:tabs>
        <w:tab w:val="center" w:pos="4513"/>
        <w:tab w:val="right" w:pos="9026"/>
      </w:tabs>
    </w:pPr>
  </w:style>
  <w:style w:type="character" w:customStyle="1" w:styleId="HeaderChar">
    <w:name w:val="Header Char"/>
    <w:basedOn w:val="DefaultParagraphFont"/>
    <w:link w:val="Header"/>
    <w:uiPriority w:val="99"/>
    <w:rsid w:val="001E3A74"/>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1E3A74"/>
    <w:pPr>
      <w:tabs>
        <w:tab w:val="center" w:pos="4513"/>
        <w:tab w:val="right" w:pos="9026"/>
      </w:tabs>
    </w:pPr>
  </w:style>
  <w:style w:type="character" w:customStyle="1" w:styleId="FooterChar">
    <w:name w:val="Footer Char"/>
    <w:basedOn w:val="DefaultParagraphFont"/>
    <w:link w:val="Footer"/>
    <w:uiPriority w:val="99"/>
    <w:rsid w:val="001E3A74"/>
    <w:rPr>
      <w:rFonts w:ascii="Times New Roman" w:eastAsia="Times New Roman" w:hAnsi="Times New Roman" w:cs="Times New Roman"/>
      <w:sz w:val="26"/>
      <w:szCs w:val="20"/>
    </w:rPr>
  </w:style>
  <w:style w:type="paragraph" w:styleId="Revision">
    <w:name w:val="Revision"/>
    <w:hidden/>
    <w:uiPriority w:val="99"/>
    <w:semiHidden/>
    <w:rsid w:val="00135635"/>
    <w:pPr>
      <w:spacing w:after="0" w:line="240" w:lineRule="auto"/>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6B6056"/>
    <w:rPr>
      <w:sz w:val="16"/>
      <w:szCs w:val="16"/>
    </w:rPr>
  </w:style>
  <w:style w:type="paragraph" w:styleId="CommentText">
    <w:name w:val="annotation text"/>
    <w:basedOn w:val="Normal"/>
    <w:link w:val="CommentTextChar"/>
    <w:uiPriority w:val="99"/>
    <w:unhideWhenUsed/>
    <w:rsid w:val="006B6056"/>
    <w:rPr>
      <w:sz w:val="20"/>
    </w:rPr>
  </w:style>
  <w:style w:type="character" w:customStyle="1" w:styleId="CommentTextChar">
    <w:name w:val="Comment Text Char"/>
    <w:basedOn w:val="DefaultParagraphFont"/>
    <w:link w:val="CommentText"/>
    <w:uiPriority w:val="99"/>
    <w:rsid w:val="006B6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056"/>
    <w:rPr>
      <w:b/>
      <w:bCs/>
    </w:rPr>
  </w:style>
  <w:style w:type="character" w:customStyle="1" w:styleId="CommentSubjectChar">
    <w:name w:val="Comment Subject Char"/>
    <w:basedOn w:val="CommentTextChar"/>
    <w:link w:val="CommentSubject"/>
    <w:uiPriority w:val="99"/>
    <w:semiHidden/>
    <w:rsid w:val="006B605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F26B6"/>
    <w:rPr>
      <w:color w:val="0000FF"/>
      <w:u w:val="single"/>
    </w:rPr>
  </w:style>
  <w:style w:type="paragraph" w:customStyle="1" w:styleId="Default">
    <w:name w:val="Default"/>
    <w:rsid w:val="002B344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5456"/>
    <w:rPr>
      <w:color w:val="605E5C"/>
      <w:shd w:val="clear" w:color="auto" w:fill="E1DFDD"/>
    </w:rPr>
  </w:style>
  <w:style w:type="character" w:styleId="FollowedHyperlink">
    <w:name w:val="FollowedHyperlink"/>
    <w:basedOn w:val="DefaultParagraphFont"/>
    <w:uiPriority w:val="99"/>
    <w:semiHidden/>
    <w:unhideWhenUsed/>
    <w:rsid w:val="00FB2DF9"/>
    <w:rPr>
      <w:color w:val="954F72" w:themeColor="followedHyperlink"/>
      <w:u w:val="single"/>
    </w:rPr>
  </w:style>
  <w:style w:type="character" w:customStyle="1" w:styleId="Heading2Char">
    <w:name w:val="Heading 2 Char"/>
    <w:basedOn w:val="DefaultParagraphFont"/>
    <w:link w:val="Heading2"/>
    <w:uiPriority w:val="9"/>
    <w:rsid w:val="009249DC"/>
    <w:rPr>
      <w:rFonts w:ascii="Arial" w:eastAsiaTheme="majorEastAsia" w:hAnsi="Arial" w:cstheme="majorBidi"/>
      <w:b/>
      <w:szCs w:val="26"/>
    </w:rPr>
  </w:style>
  <w:style w:type="character" w:customStyle="1" w:styleId="Heading3Char">
    <w:name w:val="Heading 3 Char"/>
    <w:basedOn w:val="DefaultParagraphFont"/>
    <w:link w:val="Heading3"/>
    <w:uiPriority w:val="9"/>
    <w:rsid w:val="009249DC"/>
    <w:rPr>
      <w:rFonts w:ascii="Arial" w:eastAsiaTheme="majorEastAsia" w:hAnsi="Arial" w:cstheme="majorBidi"/>
      <w:b/>
      <w:szCs w:val="24"/>
      <w:u w:val="single"/>
    </w:rPr>
  </w:style>
  <w:style w:type="paragraph" w:styleId="TOCHeading">
    <w:name w:val="TOC Heading"/>
    <w:basedOn w:val="Heading1"/>
    <w:next w:val="Normal"/>
    <w:uiPriority w:val="39"/>
    <w:unhideWhenUsed/>
    <w:qFormat/>
    <w:rsid w:val="002C54EA"/>
    <w:pPr>
      <w:keepLines/>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2C54EA"/>
    <w:pPr>
      <w:spacing w:after="100"/>
    </w:pPr>
  </w:style>
  <w:style w:type="paragraph" w:styleId="TOC2">
    <w:name w:val="toc 2"/>
    <w:basedOn w:val="Normal"/>
    <w:next w:val="Normal"/>
    <w:autoRedefine/>
    <w:uiPriority w:val="39"/>
    <w:unhideWhenUsed/>
    <w:rsid w:val="002C54EA"/>
    <w:pPr>
      <w:spacing w:after="100"/>
      <w:ind w:left="260"/>
    </w:pPr>
  </w:style>
  <w:style w:type="paragraph" w:styleId="TOC3">
    <w:name w:val="toc 3"/>
    <w:basedOn w:val="Normal"/>
    <w:next w:val="Normal"/>
    <w:autoRedefine/>
    <w:uiPriority w:val="39"/>
    <w:unhideWhenUsed/>
    <w:rsid w:val="002C54EA"/>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7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3178E-D788-4D58-8CD7-403E0370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Harlow</dc:creator>
  <cp:keywords/>
  <dc:description/>
  <cp:lastModifiedBy>Wendy Harlow</cp:lastModifiedBy>
  <cp:revision>2</cp:revision>
  <dcterms:created xsi:type="dcterms:W3CDTF">2024-04-16T10:15:00Z</dcterms:created>
  <dcterms:modified xsi:type="dcterms:W3CDTF">2024-04-16T10:15:00Z</dcterms:modified>
</cp:coreProperties>
</file>